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"/>
        <w:gridCol w:w="351"/>
        <w:gridCol w:w="2770"/>
        <w:gridCol w:w="1041"/>
        <w:gridCol w:w="85"/>
        <w:gridCol w:w="1329"/>
        <w:gridCol w:w="194"/>
        <w:gridCol w:w="88"/>
        <w:gridCol w:w="3713"/>
        <w:gridCol w:w="58"/>
        <w:gridCol w:w="23"/>
      </w:tblGrid>
      <w:tr>
        <w:tblPrEx/>
        <w:trPr>
          <w:gridBefore w:val="1"/>
          <w:jc w:val="center"/>
        </w:trPr>
        <w:tc>
          <w:tcPr>
            <w:gridSpan w:val="4"/>
            <w:shd w:val="clear" w:color="auto" w:fill="auto"/>
            <w:tcW w:w="4346" w:type="dxa"/>
            <w:vAlign w:val="center"/>
            <w:textDirection w:val="lrTb"/>
            <w:noWrap w:val="false"/>
          </w:tcPr>
          <w:p>
            <w:pPr>
              <w:ind w:hang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W w:w="1629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28650" cy="929640"/>
                      <wp:effectExtent l="19050" t="0" r="0" b="0"/>
                      <wp:docPr id="1" name="Рисунок 1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8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28650" cy="9296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9.50pt;height:73.2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W w:w="388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gridAfter w:val="2"/>
          <w:jc w:val="center"/>
        </w:trPr>
        <w:tc>
          <w:tcPr>
            <w:gridSpan w:val="4"/>
            <w:shd w:val="clear" w:color="auto" w:fill="auto"/>
            <w:tcW w:w="429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АДМИНИСТРАЦИЯ</w:t>
            </w:r>
            <w:r>
              <w:rPr>
                <w:b/>
                <w:sz w:val="22"/>
                <w:szCs w:val="22"/>
              </w:rPr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ГОРОДА ВОТКИНСКА</w:t>
            </w:r>
            <w:r>
              <w:rPr>
                <w:b/>
                <w:sz w:val="22"/>
                <w:szCs w:val="22"/>
              </w:rPr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</w:p>
        </w:tc>
        <w:tc>
          <w:tcPr>
            <w:gridSpan w:val="3"/>
            <w:shd w:val="clear" w:color="auto" w:fill="auto"/>
            <w:tcW w:w="1630" w:type="dxa"/>
            <w:textDirection w:val="lrTb"/>
            <w:noWrap w:val="false"/>
          </w:tcPr>
          <w:p>
            <w:pPr>
              <w:jc w:val="center"/>
              <w:spacing w:line="48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gridSpan w:val="2"/>
            <w:shd w:val="clear" w:color="auto" w:fill="auto"/>
            <w:tcW w:w="3883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ВОТКА КАР</w:t>
            </w:r>
            <w:r>
              <w:rPr>
                <w:b/>
                <w:sz w:val="22"/>
                <w:szCs w:val="22"/>
              </w:rPr>
            </w:r>
          </w:p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1"/>
          <w:gridBefore w:val="1"/>
          <w:jc w:val="center"/>
          <w:trHeight w:val="675"/>
        </w:trPr>
        <w:tc>
          <w:tcPr>
            <w:gridSpan w:val="9"/>
            <w:shd w:val="clear" w:color="auto" w:fill="auto"/>
            <w:tcW w:w="9831" w:type="dxa"/>
            <w:vAlign w:val="center"/>
            <w:textDirection w:val="lrTb"/>
            <w:noWrap w:val="false"/>
          </w:tcPr>
          <w:p>
            <w:pPr>
              <w:jc w:val="center"/>
              <w:spacing w:line="36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</w:t>
            </w:r>
            <w:r>
              <w:rPr>
                <w:b/>
                <w:sz w:val="36"/>
                <w:szCs w:val="36"/>
              </w:rPr>
            </w:r>
          </w:p>
        </w:tc>
      </w:tr>
      <w:tr>
        <w:tblPrEx/>
        <w:trPr>
          <w:gridAfter w:val="1"/>
          <w:gridBefore w:val="2"/>
          <w:jc w:val="center"/>
        </w:trPr>
        <w:tc>
          <w:tcPr>
            <w:shd w:val="clear" w:color="auto" w:fill="auto"/>
            <w:tcBorders>
              <w:bottom w:val="single" w:color="auto" w:sz="4" w:space="0"/>
            </w:tcBorders>
            <w:tcW w:w="2804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28.12.2024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3"/>
            <w:shd w:val="clear" w:color="auto" w:fill="auto"/>
            <w:tcW w:w="2520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W w:w="4143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№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1719</w:t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6"/>
        <w:jc w:val="center"/>
        <w:widowControl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г. Воткинск</w:t>
      </w:r>
      <w:r>
        <w:rPr>
          <w:rFonts w:ascii="Times New Roman" w:hAnsi="Times New Roman" w:cs="Times New Roman"/>
          <w:sz w:val="24"/>
          <w:szCs w:val="22"/>
        </w:rPr>
      </w:r>
    </w:p>
    <w:p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</w:t>
      </w:r>
      <w:r>
        <w:rPr>
          <w:sz w:val="28"/>
          <w:szCs w:val="28"/>
        </w:rPr>
        <w:t xml:space="preserve">ений в муниципальную программу муниципального образования «Город Воткинск» «Формирование современной городской среды» на территории муниципального образования «Город Воткинск», утвержденную постановлением Администрации города Воткинска от 29.11.2017 № 2683</w:t>
      </w:r>
      <w:r>
        <w:rPr>
          <w:sz w:val="28"/>
          <w:szCs w:val="28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jc w:val="both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 xml:space="preserve">В соответствии с </w:t>
      </w:r>
      <w:r>
        <w:rPr>
          <w:spacing w:val="2"/>
          <w:sz w:val="28"/>
          <w:szCs w:val="28"/>
          <w:shd w:val="clear" w:color="auto" w:fill="ffffff"/>
        </w:rPr>
        <w:t xml:space="preserve">Бюджетным Кодексом Р</w:t>
      </w:r>
      <w:r>
        <w:rPr>
          <w:spacing w:val="2"/>
          <w:sz w:val="28"/>
          <w:szCs w:val="28"/>
          <w:shd w:val="clear" w:color="auto" w:fill="ffffff"/>
        </w:rPr>
        <w:t xml:space="preserve">оссийской Федерации</w:t>
      </w:r>
      <w:r>
        <w:rPr>
          <w:spacing w:val="2"/>
          <w:sz w:val="28"/>
          <w:szCs w:val="28"/>
          <w:shd w:val="clear" w:color="auto" w:fill="ffffff"/>
        </w:rPr>
        <w:t xml:space="preserve">, </w:t>
      </w:r>
      <w:r>
        <w:rPr>
          <w:spacing w:val="2"/>
          <w:sz w:val="28"/>
          <w:szCs w:val="28"/>
          <w:shd w:val="clear" w:color="auto" w:fill="ffffff"/>
        </w:rPr>
        <w:t xml:space="preserve">постановлением Правительства Р</w:t>
      </w:r>
      <w:r>
        <w:rPr>
          <w:spacing w:val="2"/>
          <w:sz w:val="28"/>
          <w:szCs w:val="28"/>
          <w:shd w:val="clear" w:color="auto" w:fill="ffffff"/>
        </w:rPr>
        <w:t xml:space="preserve">оссийской </w:t>
      </w:r>
      <w:r>
        <w:rPr>
          <w:spacing w:val="2"/>
          <w:sz w:val="28"/>
          <w:szCs w:val="28"/>
          <w:shd w:val="clear" w:color="auto" w:fill="ffffff"/>
        </w:rPr>
        <w:t xml:space="preserve">Ф</w:t>
      </w:r>
      <w:r>
        <w:rPr>
          <w:spacing w:val="2"/>
          <w:sz w:val="28"/>
          <w:szCs w:val="28"/>
          <w:shd w:val="clear" w:color="auto" w:fill="ffffff"/>
        </w:rPr>
        <w:t xml:space="preserve">едерации</w:t>
      </w:r>
      <w:r>
        <w:rPr>
          <w:spacing w:val="2"/>
          <w:sz w:val="28"/>
          <w:szCs w:val="28"/>
          <w:shd w:val="clear" w:color="auto" w:fill="ffffff"/>
        </w:rPr>
        <w:t xml:space="preserve"> от 10.02.2017 № 169 «Об утве</w:t>
      </w:r>
      <w:r>
        <w:rPr>
          <w:spacing w:val="2"/>
          <w:sz w:val="28"/>
          <w:szCs w:val="28"/>
          <w:shd w:val="clear" w:color="auto" w:fill="ffffff"/>
        </w:rPr>
        <w:t xml:space="preserve">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pacing w:val="2"/>
          <w:sz w:val="28"/>
          <w:szCs w:val="28"/>
          <w:shd w:val="clear" w:color="auto" w:fill="ffffff"/>
        </w:rPr>
        <w:t xml:space="preserve">постановлени</w:t>
      </w:r>
      <w:r>
        <w:rPr>
          <w:spacing w:val="2"/>
          <w:sz w:val="28"/>
          <w:szCs w:val="28"/>
          <w:shd w:val="clear" w:color="auto" w:fill="ffffff"/>
        </w:rPr>
        <w:t xml:space="preserve">ем</w:t>
      </w:r>
      <w:r>
        <w:rPr>
          <w:spacing w:val="2"/>
          <w:sz w:val="28"/>
          <w:szCs w:val="28"/>
          <w:shd w:val="clear" w:color="auto" w:fill="ffffff"/>
        </w:rPr>
        <w:t xml:space="preserve"> Правитель</w:t>
      </w:r>
      <w:r>
        <w:rPr>
          <w:spacing w:val="2"/>
          <w:sz w:val="28"/>
          <w:szCs w:val="28"/>
          <w:shd w:val="clear" w:color="auto" w:fill="ffffff"/>
        </w:rPr>
        <w:t xml:space="preserve">ства Удмуртской Республики от 13.11.2024 № 592 «О внесении изменения в распределение объемов субсидий из бюджета Удмуртской Республики бюджетам муниципальных образований в Удмуртской Республике на реализацию мероприятий муниципальных программ формирования </w:t>
      </w:r>
      <w:r>
        <w:rPr>
          <w:spacing w:val="2"/>
          <w:sz w:val="28"/>
          <w:szCs w:val="28"/>
          <w:shd w:val="clear" w:color="auto" w:fill="ffffff"/>
        </w:rPr>
        <w:t xml:space="preserve">современной </w:t>
      </w:r>
      <w:r>
        <w:rPr>
          <w:spacing w:val="2"/>
          <w:sz w:val="28"/>
          <w:szCs w:val="28"/>
          <w:shd w:val="clear" w:color="auto" w:fill="ffffff"/>
        </w:rPr>
        <w:t xml:space="preserve">городской среды на 2024 год», </w:t>
      </w:r>
      <w:r>
        <w:rPr>
          <w:spacing w:val="2"/>
          <w:sz w:val="28"/>
          <w:szCs w:val="28"/>
          <w:shd w:val="clear" w:color="auto" w:fill="ffffff"/>
        </w:rPr>
        <w:t xml:space="preserve">на основании Решени</w:t>
      </w:r>
      <w:r>
        <w:rPr>
          <w:spacing w:val="2"/>
          <w:sz w:val="28"/>
          <w:szCs w:val="28"/>
          <w:shd w:val="clear" w:color="auto" w:fill="ffffff"/>
        </w:rPr>
        <w:t xml:space="preserve">я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Воткинской</w:t>
      </w:r>
      <w:r>
        <w:rPr>
          <w:spacing w:val="2"/>
          <w:sz w:val="28"/>
          <w:szCs w:val="28"/>
          <w:shd w:val="clear" w:color="auto" w:fill="ffffff"/>
        </w:rPr>
        <w:t xml:space="preserve"> городской Думы </w:t>
      </w:r>
      <w:r>
        <w:rPr>
          <w:spacing w:val="2"/>
          <w:sz w:val="28"/>
          <w:szCs w:val="28"/>
          <w:shd w:val="clear" w:color="auto" w:fill="ffffff"/>
        </w:rPr>
        <w:t xml:space="preserve">от </w:t>
      </w:r>
      <w:r>
        <w:rPr>
          <w:spacing w:val="2"/>
          <w:sz w:val="28"/>
          <w:szCs w:val="28"/>
          <w:shd w:val="clear" w:color="auto" w:fill="ffffff"/>
        </w:rPr>
        <w:t xml:space="preserve">30</w:t>
      </w:r>
      <w:r>
        <w:rPr>
          <w:spacing w:val="2"/>
          <w:sz w:val="28"/>
          <w:szCs w:val="28"/>
          <w:shd w:val="clear" w:color="auto" w:fill="ffffff"/>
        </w:rPr>
        <w:t xml:space="preserve">.1</w:t>
      </w:r>
      <w:r>
        <w:rPr>
          <w:spacing w:val="2"/>
          <w:sz w:val="28"/>
          <w:szCs w:val="28"/>
          <w:shd w:val="clear" w:color="auto" w:fill="ffffff"/>
        </w:rPr>
        <w:t xml:space="preserve">0</w:t>
      </w:r>
      <w:r>
        <w:rPr>
          <w:spacing w:val="2"/>
          <w:sz w:val="28"/>
          <w:szCs w:val="28"/>
          <w:shd w:val="clear" w:color="auto" w:fill="ffffff"/>
        </w:rPr>
        <w:t xml:space="preserve">.202</w:t>
      </w:r>
      <w:r>
        <w:rPr>
          <w:spacing w:val="2"/>
          <w:sz w:val="28"/>
          <w:szCs w:val="28"/>
          <w:shd w:val="clear" w:color="auto" w:fill="ffffff"/>
        </w:rPr>
        <w:t xml:space="preserve">4</w:t>
      </w:r>
      <w:r>
        <w:rPr>
          <w:spacing w:val="2"/>
          <w:sz w:val="28"/>
          <w:szCs w:val="28"/>
          <w:shd w:val="clear" w:color="auto" w:fill="ffffff"/>
        </w:rPr>
        <w:t xml:space="preserve"> № </w:t>
      </w:r>
      <w:r>
        <w:rPr>
          <w:spacing w:val="2"/>
          <w:sz w:val="28"/>
          <w:szCs w:val="28"/>
          <w:shd w:val="clear" w:color="auto" w:fill="ffffff"/>
        </w:rPr>
        <w:t xml:space="preserve">435</w:t>
      </w:r>
      <w:r>
        <w:rPr>
          <w:spacing w:val="2"/>
          <w:sz w:val="28"/>
          <w:szCs w:val="28"/>
          <w:shd w:val="clear" w:color="auto" w:fill="ffffff"/>
        </w:rPr>
        <w:t xml:space="preserve">-РН </w:t>
      </w:r>
      <w:r>
        <w:rPr>
          <w:spacing w:val="2"/>
          <w:sz w:val="28"/>
          <w:szCs w:val="28"/>
          <w:shd w:val="clear" w:color="auto" w:fill="ffffff"/>
        </w:rPr>
        <w:t xml:space="preserve">«О внесении изменений в бюджет </w:t>
      </w:r>
      <w:r>
        <w:rPr>
          <w:spacing w:val="2"/>
          <w:sz w:val="28"/>
          <w:szCs w:val="28"/>
          <w:shd w:val="clear" w:color="auto" w:fill="ffffff"/>
        </w:rPr>
        <w:t xml:space="preserve">г</w:t>
      </w:r>
      <w:r>
        <w:rPr>
          <w:spacing w:val="2"/>
          <w:sz w:val="28"/>
          <w:szCs w:val="28"/>
          <w:shd w:val="clear" w:color="auto" w:fill="ffffff"/>
        </w:rPr>
        <w:t xml:space="preserve">ород</w:t>
      </w:r>
      <w:r>
        <w:rPr>
          <w:spacing w:val="2"/>
          <w:sz w:val="28"/>
          <w:szCs w:val="28"/>
          <w:shd w:val="clear" w:color="auto" w:fill="ffffff"/>
        </w:rPr>
        <w:t xml:space="preserve">а </w:t>
      </w:r>
      <w:r>
        <w:rPr>
          <w:spacing w:val="2"/>
          <w:sz w:val="28"/>
          <w:szCs w:val="28"/>
          <w:shd w:val="clear" w:color="auto" w:fill="ffffff"/>
        </w:rPr>
        <w:t xml:space="preserve">Воткинск</w:t>
      </w:r>
      <w:r>
        <w:rPr>
          <w:spacing w:val="2"/>
          <w:sz w:val="28"/>
          <w:szCs w:val="28"/>
          <w:shd w:val="clear" w:color="auto" w:fill="ffffff"/>
        </w:rPr>
        <w:t xml:space="preserve">а</w:t>
      </w:r>
      <w:r>
        <w:rPr>
          <w:spacing w:val="2"/>
          <w:sz w:val="28"/>
          <w:szCs w:val="28"/>
          <w:shd w:val="clear" w:color="auto" w:fill="ffffff"/>
        </w:rPr>
        <w:t xml:space="preserve"> на 202</w:t>
      </w:r>
      <w:r>
        <w:rPr>
          <w:spacing w:val="2"/>
          <w:sz w:val="28"/>
          <w:szCs w:val="28"/>
          <w:shd w:val="clear" w:color="auto" w:fill="ffffff"/>
        </w:rPr>
        <w:t xml:space="preserve">4</w:t>
      </w:r>
      <w:r>
        <w:rPr>
          <w:spacing w:val="2"/>
          <w:sz w:val="28"/>
          <w:szCs w:val="28"/>
          <w:shd w:val="clear" w:color="auto" w:fill="ffffff"/>
        </w:rPr>
        <w:t xml:space="preserve"> год и на плановый период 202</w:t>
      </w:r>
      <w:r>
        <w:rPr>
          <w:spacing w:val="2"/>
          <w:sz w:val="28"/>
          <w:szCs w:val="28"/>
          <w:shd w:val="clear" w:color="auto" w:fill="ffffff"/>
        </w:rPr>
        <w:t xml:space="preserve">5</w:t>
      </w:r>
      <w:r>
        <w:rPr>
          <w:spacing w:val="2"/>
          <w:sz w:val="28"/>
          <w:szCs w:val="28"/>
          <w:shd w:val="clear" w:color="auto" w:fill="ffffff"/>
        </w:rPr>
        <w:t xml:space="preserve"> и 202</w:t>
      </w:r>
      <w:r>
        <w:rPr>
          <w:spacing w:val="2"/>
          <w:sz w:val="28"/>
          <w:szCs w:val="28"/>
          <w:shd w:val="clear" w:color="auto" w:fill="ffffff"/>
        </w:rPr>
        <w:t xml:space="preserve">6</w:t>
      </w:r>
      <w:r>
        <w:rPr>
          <w:spacing w:val="2"/>
          <w:sz w:val="28"/>
          <w:szCs w:val="28"/>
          <w:shd w:val="clear" w:color="auto" w:fill="ffffff"/>
        </w:rPr>
        <w:t xml:space="preserve"> годов», </w:t>
      </w:r>
      <w:r>
        <w:rPr>
          <w:sz w:val="28"/>
          <w:szCs w:val="28"/>
        </w:rPr>
        <w:t xml:space="preserve">руководствуясь</w:t>
      </w:r>
      <w:r>
        <w:rPr>
          <w:sz w:val="28"/>
          <w:szCs w:val="28"/>
        </w:rPr>
        <w:t xml:space="preserve"> Уставом муниципального образования «Город Воткинск», </w:t>
      </w:r>
      <w:r>
        <w:rPr>
          <w:spacing w:val="2"/>
          <w:sz w:val="28"/>
          <w:szCs w:val="28"/>
          <w:shd w:val="clear" w:color="auto" w:fill="ffffff"/>
        </w:rPr>
        <w:t xml:space="preserve">Администрация города Воткинска </w:t>
      </w:r>
      <w:r>
        <w:rPr>
          <w:b/>
          <w:sz w:val="28"/>
          <w:szCs w:val="28"/>
        </w:rPr>
        <w:t xml:space="preserve">п о с т а н о в л я е т:</w:t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муниципального образования </w:t>
      </w:r>
      <w:r>
        <w:rPr>
          <w:sz w:val="28"/>
          <w:szCs w:val="28"/>
        </w:rPr>
        <w:t xml:space="preserve">«Город Воткинск» «Формирование современной городской среды» на территории муниципального образования «Город Воткинск»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утвержденную постановлением Администрации города Воткинска от 29.11.2017 № 2683 (далее – муниципальная программа), следующие изменения: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</w:t>
      </w:r>
      <w:r>
        <w:rPr>
          <w:sz w:val="28"/>
          <w:szCs w:val="28"/>
        </w:rPr>
        <w:t xml:space="preserve"> паспорт муниципальной 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изменения согласно приложению 1 к настоящему постановлению;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приложение 1 к муниципальной программе изложить в редакции приложения 2 к настоящему постановлению;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приложение 5 к муниципальной программе изложить в редакции приложения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 настоящему постановлению;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 приложение 6 к муниципальной программе изложить в редакции приложения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к настоящему постановлению;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) приложение 8 к муниципальной программе изложить в редакции приложения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приложением 15 к муниципальной программе согласно приложению 6 к настоящему постановлению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  <w:t xml:space="preserve">Настоящее постановление подлежит обнародованию путем опубликования в сборнике «Муниципальные ведомости города Воткинска» и размещения в сетевом издании «Официальные документы муниципального образования «Город Воткинск».</w:t>
      </w:r>
      <w:r>
        <w:rPr>
          <w:sz w:val="28"/>
          <w:szCs w:val="28"/>
        </w:rPr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города Воткинска по архитектуре, строительству, жилищно-коммунальному хозяйству и транспорту.</w:t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А.В. </w:t>
      </w:r>
      <w:r>
        <w:rPr>
          <w:sz w:val="28"/>
          <w:szCs w:val="28"/>
        </w:rPr>
        <w:t xml:space="preserve">Заметаев</w:t>
      </w:r>
      <w:r>
        <w:rPr>
          <w:sz w:val="28"/>
          <w:szCs w:val="28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ind w:right="-340" w:firstLine="709"/>
        <w:jc w:val="right"/>
        <w:rPr>
          <w:sz w:val="26"/>
          <w:szCs w:val="26"/>
        </w:rPr>
        <w:sectPr>
          <w:footnotePr/>
          <w:endnotePr/>
          <w:type w:val="nextPage"/>
          <w:pgSz w:w="11907" w:h="16840" w:orient="portrait"/>
          <w:pgMar w:top="1134" w:right="73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-34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Приложение 1</w:t>
      </w:r>
      <w:r>
        <w:rPr>
          <w:sz w:val="26"/>
          <w:szCs w:val="26"/>
        </w:rPr>
      </w:r>
    </w:p>
    <w:p>
      <w:pPr>
        <w:ind w:right="-34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к постановлению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города Воткинска</w:t>
      </w:r>
      <w:r>
        <w:rPr>
          <w:sz w:val="26"/>
          <w:szCs w:val="26"/>
        </w:rPr>
      </w:r>
    </w:p>
    <w:p>
      <w:pPr>
        <w:ind w:right="-42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28.12.2024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1719</w:t>
      </w:r>
      <w:r>
        <w:rPr>
          <w:sz w:val="26"/>
          <w:szCs w:val="26"/>
        </w:rPr>
      </w:r>
    </w:p>
    <w:p>
      <w:pPr>
        <w:ind w:right="-199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паспорт муниципальной программы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Формирование современной городской среды»</w:t>
      </w:r>
      <w:r>
        <w:rPr>
          <w:sz w:val="28"/>
          <w:szCs w:val="28"/>
        </w:rPr>
      </w:r>
    </w:p>
    <w:p>
      <w:pPr>
        <w:ind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«Город Воткинск»</w:t>
      </w:r>
      <w:r>
        <w:rPr>
          <w:sz w:val="28"/>
          <w:szCs w:val="28"/>
        </w:rPr>
      </w:r>
    </w:p>
    <w:p>
      <w:pPr>
        <w:ind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позицию «Ресур</w:t>
      </w:r>
      <w:bookmarkStart w:id="0" w:name="_GoBack"/>
      <w:r/>
      <w:bookmarkEnd w:id="0"/>
      <w:r>
        <w:rPr>
          <w:sz w:val="28"/>
          <w:szCs w:val="28"/>
        </w:rPr>
        <w:t xml:space="preserve">сное обеспечение </w:t>
      </w:r>
      <w:r>
        <w:rPr>
          <w:sz w:val="28"/>
          <w:szCs w:val="28"/>
        </w:rPr>
        <w:t xml:space="preserve">муниципальной программы»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</w:r>
    </w:p>
    <w:tbl>
      <w:tblPr>
        <w:tblW w:w="14742" w:type="dxa"/>
        <w:tblInd w:w="100" w:type="dxa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18"/>
        <w:gridCol w:w="13324"/>
      </w:tblGrid>
      <w:tr>
        <w:tblPrEx/>
        <w:trPr>
          <w:trHeight w:val="42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Ресурсное обеспечение муниципальной программы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24" w:type="dxa"/>
            <w:textDirection w:val="lrTb"/>
            <w:noWrap w:val="false"/>
          </w:tcPr>
          <w:p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мероприятий программы составит </w:t>
            </w:r>
            <w:r>
              <w:rPr>
                <w:sz w:val="24"/>
                <w:szCs w:val="24"/>
              </w:rPr>
              <w:t xml:space="preserve">846908,4</w:t>
            </w:r>
            <w:r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 xml:space="preserve">, в том числе по источникам финансирования и годам реализации муниципальной программы (в тыс. руб.):</w:t>
            </w:r>
            <w:r>
              <w:rPr>
                <w:sz w:val="24"/>
                <w:szCs w:val="24"/>
              </w:rPr>
            </w:r>
          </w:p>
          <w:tbl>
            <w:tblPr>
              <w:tblStyle w:val="75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992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</w:tblGrid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W w:w="992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Всего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2018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2019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2020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2021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2022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2023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2024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2025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2026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2027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2028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0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2029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  <w:tc>
                <w:tcPr>
                  <w:tcW w:w="851" w:type="dxa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2030 г.</w:t>
                  </w:r>
                  <w:r>
                    <w:rPr>
                      <w:sz w:val="18"/>
                      <w:szCs w:val="18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Бюджет города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ind w:left="-14" w:firstLine="14"/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846908,4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41181,2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159582,6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199460,4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142426,4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49819,9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135727,2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</w:t>
                  </w:r>
                  <w:r>
                    <w:rPr>
                      <w:sz w:val="16"/>
                      <w:szCs w:val="16"/>
                    </w:rPr>
                    <w:t xml:space="preserve">18253,7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457</w:t>
                  </w:r>
                  <w:r>
                    <w:rPr>
                      <w:sz w:val="16"/>
                      <w:szCs w:val="16"/>
                    </w:rPr>
                    <w:t xml:space="preserve">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в том числе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Собственные средства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91436,1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5178,1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750,0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48 279,8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24813,0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440,2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3632,5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7885,5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457</w:t>
                  </w:r>
                  <w:r>
                    <w:rPr>
                      <w:sz w:val="16"/>
                      <w:szCs w:val="16"/>
                    </w:rPr>
                    <w:t xml:space="preserve">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Средства бюджета Удмуртской Республики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319</w:t>
                  </w:r>
                  <w:r>
                    <w:rPr>
                      <w:sz w:val="16"/>
                      <w:szCs w:val="16"/>
                    </w:rPr>
                    <w:t xml:space="preserve">637,1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6158,8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114253,0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113 068,8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772,7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3319,1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1389,8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80</w:t>
                  </w:r>
                  <w:r>
                    <w:rPr>
                      <w:sz w:val="16"/>
                      <w:szCs w:val="16"/>
                    </w:rPr>
                    <w:t xml:space="preserve">674,9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Средства бюджета Российского Федерации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40</w:t>
                  </w:r>
                  <w:r>
                    <w:rPr>
                      <w:sz w:val="16"/>
                      <w:szCs w:val="16"/>
                    </w:rPr>
                    <w:t xml:space="preserve">5282,0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26254,7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40512,5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34557,0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115594,0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41005,4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125535,7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2</w:t>
                  </w:r>
                  <w:r>
                    <w:rPr>
                      <w:sz w:val="16"/>
                      <w:szCs w:val="16"/>
                    </w:rPr>
                    <w:t xml:space="preserve">1822,7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W w:w="1032" w:type="dxa"/>
                  <w:textDirection w:val="lrTb"/>
                  <w:noWrap w:val="false"/>
                </w:tcPr>
                <w:p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Иные источники</w:t>
                  </w:r>
                  <w:r>
                    <w:rPr>
                      <w:sz w:val="14"/>
                      <w:szCs w:val="14"/>
                    </w:rPr>
                  </w:r>
                </w:p>
              </w:tc>
              <w:tc>
                <w:tcPr>
                  <w:tcW w:w="992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30553,3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3589,6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4067,2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3554,8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1246,7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5055,2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5169,2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7870,6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0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851" w:type="dxa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pacing w:before="240" w:after="2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0,0</w:t>
                  </w:r>
                  <w:r>
                    <w:rPr>
                      <w:sz w:val="16"/>
                      <w:szCs w:val="16"/>
                    </w:rPr>
                  </w:r>
                </w:p>
              </w:tc>
            </w:tr>
          </w:tbl>
          <w:p>
            <w:pPr>
              <w:spacing w:before="240" w:after="240"/>
            </w:pPr>
            <w:r>
              <w:rPr>
                <w:sz w:val="24"/>
                <w:szCs w:val="24"/>
              </w:rPr>
              <w:t xml:space="preserve">Ресурсное обеспечение программы за счет всех источников финансирования подлежит уточнению в рамках бюджетного цикла.</w:t>
            </w:r>
            <w:r/>
          </w:p>
        </w:tc>
      </w:tr>
    </w:tbl>
    <w:p>
      <w:pPr>
        <w:ind w:firstLine="709"/>
        <w:jc w:val="both"/>
      </w:pPr>
      <w:r/>
      <w:r/>
    </w:p>
    <w:p>
      <w:pPr>
        <w:ind w:right="-425" w:firstLine="709"/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позицию «Ожидаемые конечные результаты муниципальной программы» изложить в следующей редакции: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>
        <w:rPr>
          <w:sz w:val="28"/>
          <w:szCs w:val="28"/>
        </w:rPr>
      </w:r>
    </w:p>
    <w:tbl>
      <w:tblPr>
        <w:tblW w:w="14175" w:type="dxa"/>
        <w:tblInd w:w="242" w:type="dxa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7"/>
        <w:gridCol w:w="12348"/>
      </w:tblGrid>
      <w:tr>
        <w:tblPrEx/>
        <w:trPr>
          <w:trHeight w:val="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конечные результаты муниципальной</w:t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48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и площадь благоустроенных дворовых территорий (обеспеченных твердым покрытием, позволяющим комфортное пе</w:t>
            </w:r>
            <w:r>
              <w:rPr>
                <w:sz w:val="24"/>
                <w:szCs w:val="24"/>
              </w:rPr>
              <w:t xml:space="preserve">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– 109 ед./110751 </w:t>
            </w:r>
            <w:r>
              <w:rPr>
                <w:sz w:val="24"/>
                <w:szCs w:val="24"/>
              </w:rPr>
              <w:t xml:space="preserve">кв.м</w:t>
            </w:r>
            <w:r>
              <w:rPr>
                <w:sz w:val="24"/>
                <w:szCs w:val="24"/>
              </w:rPr>
              <w:t xml:space="preserve">.;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(нарастающим итогом, начиная с 2018 г.) – 18%;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общественных территорий (парки, скверы, набережные и т.д.) - 15 ед.;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 (парки, скверы, набережные и т.д.) – 72346,2 </w:t>
            </w:r>
            <w:r>
              <w:rPr>
                <w:sz w:val="24"/>
                <w:szCs w:val="24"/>
              </w:rPr>
              <w:t xml:space="preserve">кв.м</w:t>
            </w:r>
            <w:r>
              <w:rPr>
                <w:sz w:val="24"/>
                <w:szCs w:val="24"/>
              </w:rPr>
              <w:t xml:space="preserve">.;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территорий, приходящаяся на 1 жителя муниципального образования, - 50 </w:t>
            </w:r>
            <w:r>
              <w:rPr>
                <w:sz w:val="24"/>
                <w:szCs w:val="24"/>
              </w:rPr>
              <w:t xml:space="preserve">кв.м</w:t>
            </w:r>
            <w:r>
              <w:rPr>
                <w:sz w:val="24"/>
                <w:szCs w:val="24"/>
              </w:rPr>
              <w:t xml:space="preserve">.;</w:t>
            </w:r>
            <w:r>
              <w:rPr>
                <w:sz w:val="24"/>
                <w:szCs w:val="24"/>
              </w:rPr>
            </w:r>
          </w:p>
          <w:p>
            <w:pPr>
              <w:numPr>
                <w:ilvl w:val="0"/>
                <w:numId w:val="35"/>
              </w:numPr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участия граждан, организаций в выполнении мероприятий по благоустройству дворовых территорий, общественных территорий - 30124,11 </w:t>
            </w:r>
            <w:r>
              <w:rPr>
                <w:sz w:val="24"/>
                <w:szCs w:val="24"/>
              </w:rPr>
              <w:t xml:space="preserve">тыс.руб</w:t>
            </w:r>
            <w:r>
              <w:rPr>
                <w:sz w:val="24"/>
                <w:szCs w:val="24"/>
              </w:rPr>
              <w:t xml:space="preserve">.;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Трудовое участие граждан, организаций в выполнении мероприятий по благоустройству территорий города, количество проведенных мероприятий по благоустройству - 124 мероприятия.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right="538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</w:p>
    <w:p>
      <w:pPr>
        <w:ind w:right="-425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3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 Раздел 1.2. «Приоритеты </w:t>
      </w:r>
      <w:r>
        <w:rPr>
          <w:bCs/>
          <w:sz w:val="28"/>
          <w:szCs w:val="28"/>
        </w:rPr>
        <w:t xml:space="preserve">муниципальной политики, цели, задачи в сфере социально-экономического развития, в рамках которой реализуется муниципальная программа</w:t>
      </w:r>
      <w:r>
        <w:rPr>
          <w:sz w:val="28"/>
          <w:szCs w:val="28"/>
        </w:rPr>
        <w:t xml:space="preserve">» муниципальной программы дополнить абзацем следующего содержания:</w:t>
      </w:r>
      <w:r>
        <w:rPr>
          <w:sz w:val="28"/>
          <w:szCs w:val="28"/>
        </w:rPr>
      </w:r>
    </w:p>
    <w:p>
      <w:pPr>
        <w:ind w:right="538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«График выполнения мероприятий получателя иного межбюджетного трансферта – победителя Всероссийского конкурса лучших проектов создания комфортной городской среды, включающий, в том числе, информацию по </w:t>
      </w:r>
      <w:r>
        <w:rPr>
          <w:bCs/>
          <w:sz w:val="28"/>
          <w:szCs w:val="28"/>
        </w:rPr>
        <w:t xml:space="preserve">проектированию, строительству (ремонту, реконструкции) и вводу в эксплуатацию объектов капитального строительства, сроки выполнения по каждому этапу («</w:t>
      </w:r>
      <w:r>
        <w:rPr>
          <w:bCs/>
          <w:sz w:val="28"/>
          <w:szCs w:val="28"/>
        </w:rPr>
        <w:t xml:space="preserve">Сила музыки и ветра»: Благоустройство в районе ул. Чайковского в г. Воткинске</w:t>
      </w:r>
      <w:r>
        <w:rPr>
          <w:bCs/>
          <w:sz w:val="28"/>
          <w:szCs w:val="28"/>
        </w:rPr>
        <w:t xml:space="preserve">»), приведен в приложении 1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 к программе</w:t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</w:p>
    <w:p>
      <w:pPr>
        <w:ind w:right="538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right="53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538"/>
        <w:jc w:val="both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jc w:val="both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40" w:h="11907" w:orient="landscape"/>
      <w:pgMar w:top="1701" w:right="567" w:bottom="737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20603020101020101"/>
  </w:font>
  <w:font w:name="Symbol">
    <w:panose1 w:val="05010000000000000000"/>
  </w:font>
  <w:font w:name="Wingdings">
    <w:panose1 w:val="05010000000000000000"/>
  </w:font>
  <w:font w:name="Lucida Sans Unicode">
    <w:panose1 w:val="020B0603030804020204"/>
  </w:font>
  <w:font w:name="Andale Sans UI">
    <w:panose1 w:val="020B0606020202030204"/>
  </w:font>
  <w:font w:name="Times New Roman">
    <w:panose1 w:val="02020603050405020304"/>
  </w:font>
  <w:font w:name="Courier New">
    <w:panose1 w:val="02070409020205020404"/>
  </w:font>
  <w:font w:name="Tahoma">
    <w:panose1 w:val="020B06040202020202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Zero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hint="eastAsia" w:ascii="SimSun" w:hAnsi="SimSun" w:eastAsia="SimSun"/>
      </w:rPr>
    </w:lvl>
    <w:lvl w:ilvl="1">
      <w:start w:val="1"/>
      <w:numFmt w:val="decimal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5" w:hanging="360"/>
        <w:tabs>
          <w:tab w:val="num" w:pos="149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  <w:tabs>
          <w:tab w:val="num" w:pos="221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  <w:tabs>
          <w:tab w:val="num" w:pos="293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  <w:tabs>
          <w:tab w:val="num" w:pos="365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  <w:tabs>
          <w:tab w:val="num" w:pos="437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  <w:tabs>
          <w:tab w:val="num" w:pos="509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  <w:tabs>
          <w:tab w:val="num" w:pos="581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  <w:tabs>
          <w:tab w:val="num" w:pos="653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  <w:tabs>
          <w:tab w:val="num" w:pos="7255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3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95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i/>
      </w:rPr>
    </w:lvl>
    <w:lvl w:ilvl="1">
      <w:start w:val="1"/>
      <w:numFmt w:val="decimal"/>
      <w:isLgl w:val="false"/>
      <w:suff w:val="tab"/>
      <w:lvlText w:val="%2."/>
      <w:lvlJc w:val="left"/>
      <w:pPr>
        <w:ind w:left="1364" w:hanging="360"/>
        <w:tabs>
          <w:tab w:val="num" w:pos="1364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084" w:hanging="360"/>
        <w:tabs>
          <w:tab w:val="num" w:pos="208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  <w:tabs>
          <w:tab w:val="num" w:pos="2804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524" w:hanging="360"/>
        <w:tabs>
          <w:tab w:val="num" w:pos="3524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244" w:hanging="360"/>
        <w:tabs>
          <w:tab w:val="num" w:pos="424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  <w:tabs>
          <w:tab w:val="num" w:pos="4964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684" w:hanging="360"/>
        <w:tabs>
          <w:tab w:val="num" w:pos="5684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04" w:hanging="360"/>
        <w:tabs>
          <w:tab w:val="num" w:pos="6404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hint="eastAsia" w:ascii="SimSun" w:hAnsi="SimSun" w:eastAsia="SimSu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/>
      <w:suff w:val="tab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</w:lvl>
  </w:abstractNum>
  <w:abstractNum w:abstractNumId="16">
    <w:multiLevelType w:val="hybridMultilevel"/>
    <w:lvl w:ilvl="0">
      <w:start w:val="1"/>
      <w:numFmt w:val="bullet"/>
      <w:pStyle w:val="787"/>
      <w:isLgl w:val="false"/>
      <w:suff w:val="tab"/>
      <w:lvlText w:val="●"/>
      <w:lvlJc w:val="left"/>
      <w:pPr>
        <w:ind w:left="284" w:hanging="284"/>
        <w:tabs>
          <w:tab w:val="num" w:pos="0" w:leader="none"/>
        </w:tabs>
      </w:pPr>
      <w:rPr>
        <w:rFonts w:hint="default" w:ascii="Arial" w:hAnsi="Arial" w:cs="Times New Roman"/>
        <w:color w:val="auto"/>
        <w:sz w:val="20"/>
      </w:rPr>
    </w:lvl>
    <w:lvl w:ilvl="1">
      <w:start w:val="1"/>
      <w:numFmt w:val="bullet"/>
      <w:isLgl w:val="false"/>
      <w:suff w:val="tab"/>
      <w:lvlText w:val="●"/>
      <w:lvlJc w:val="left"/>
      <w:pPr>
        <w:ind w:left="851" w:hanging="284"/>
        <w:tabs>
          <w:tab w:val="num" w:pos="851" w:leader="none"/>
        </w:tabs>
      </w:pPr>
      <w:rPr>
        <w:rFonts w:hint="default" w:ascii="Arial" w:hAnsi="Arial" w:cs="Times New Roman"/>
        <w:color w:val="auto"/>
      </w:rPr>
    </w:lvl>
    <w:lvl w:ilvl="2">
      <w:start w:val="1"/>
      <w:numFmt w:val="bullet"/>
      <w:isLgl w:val="false"/>
      <w:suff w:val="tab"/>
      <w:lvlText w:val="●"/>
      <w:lvlJc w:val="left"/>
      <w:pPr>
        <w:ind w:left="1418" w:hanging="284"/>
        <w:tabs>
          <w:tab w:val="num" w:pos="1418" w:leader="none"/>
        </w:tabs>
      </w:pPr>
      <w:rPr>
        <w:rFonts w:hint="default" w:ascii="Arial" w:hAnsi="Arial" w:cs="Times New Roman"/>
        <w:color w:val="auto"/>
      </w:rPr>
    </w:lvl>
    <w:lvl w:ilvl="3">
      <w:start w:val="1"/>
      <w:numFmt w:val="decimal"/>
      <w:isLgl w:val="false"/>
      <w:suff w:val="tab"/>
      <w:lvlText w:val="(%4)"/>
      <w:lvlJc w:val="left"/>
      <w:pPr>
        <w:ind w:left="1985" w:hanging="284"/>
        <w:tabs>
          <w:tab w:val="num" w:pos="1701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ind w:left="2552" w:hanging="284"/>
        <w:tabs>
          <w:tab w:val="num" w:pos="2268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3119" w:hanging="284"/>
        <w:tabs>
          <w:tab w:val="num" w:pos="283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686" w:hanging="284"/>
        <w:tabs>
          <w:tab w:val="num" w:pos="340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253" w:hanging="284"/>
        <w:tabs>
          <w:tab w:val="num" w:pos="3969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4820" w:hanging="284"/>
        <w:tabs>
          <w:tab w:val="num" w:pos="4536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61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5.1.%1."/>
      <w:legacy w:legacy="1" w:legacyIndent="66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5.2.%1."/>
      <w:legacy w:legacy="1" w:legacyIndent="655" w:legacySpace="0"/>
      <w:lvlJc w:val="left"/>
      <w:pPr/>
      <w:rPr>
        <w:rFonts w:hint="default" w:ascii="Times New Roman" w:hAnsi="Times New Roman" w:cs="Times New Roman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egacy w:legacy="1" w:legacyIndent="283" w:legacySpace="0"/>
      <w:lvlJc w:val="left"/>
      <w:pPr>
        <w:ind w:left="283" w:hanging="283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5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7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9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1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3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5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7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9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18" w:hanging="180"/>
      </w:p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37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2">
    <w:abstractNumId w:val="20"/>
  </w:num>
  <w:num w:numId="3">
    <w:abstractNumId w:val="30"/>
  </w:num>
  <w:num w:numId="4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136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5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202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6">
    <w:abstractNumId w:val="31"/>
  </w:num>
  <w:num w:numId="7">
    <w:abstractNumId w:val="26"/>
  </w:num>
  <w:num w:numId="8">
    <w:abstractNumId w:val="28"/>
  </w:num>
  <w:num w:numId="9">
    <w:abstractNumId w:val="18"/>
  </w:num>
  <w:num w:numId="10">
    <w:abstractNumId w:val="23"/>
  </w:num>
  <w:num w:numId="11">
    <w:abstractNumId w:val="11"/>
  </w:num>
  <w:num w:numId="12">
    <w:abstractNumId w:val="10"/>
  </w:num>
  <w:num w:numId="13">
    <w:abstractNumId w:val="25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6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7"/>
  </w:num>
  <w:num w:numId="20">
    <w:abstractNumId w:val="32"/>
  </w:num>
  <w:num w:numId="21">
    <w:abstractNumId w:val="2"/>
  </w:num>
  <w:num w:numId="22">
    <w:abstractNumId w:val="19"/>
  </w:num>
  <w:num w:numId="23">
    <w:abstractNumId w:val="22"/>
  </w:num>
  <w:num w:numId="24">
    <w:abstractNumId w:val="24"/>
  </w:num>
  <w:num w:numId="25">
    <w:abstractNumId w:val="21"/>
  </w:num>
  <w:num w:numId="26">
    <w:abstractNumId w:val="17"/>
  </w:num>
  <w:num w:numId="27">
    <w:abstractNumId w:val="14"/>
  </w:num>
  <w:num w:numId="28">
    <w:abstractNumId w:val="7"/>
  </w:num>
  <w:num w:numId="29">
    <w:abstractNumId w:val="1"/>
  </w:num>
  <w:num w:numId="30">
    <w:abstractNumId w:val="6"/>
  </w:num>
  <w:num w:numId="31">
    <w:abstractNumId w:val="13"/>
  </w:num>
  <w:num w:numId="32">
    <w:abstractNumId w:val="8"/>
  </w:num>
  <w:num w:numId="33">
    <w:abstractNumId w:val="3"/>
  </w:num>
  <w:num w:numId="34">
    <w:abstractNumId w:val="12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31"/>
    <w:link w:val="741"/>
    <w:uiPriority w:val="10"/>
    <w:rPr>
      <w:sz w:val="48"/>
      <w:szCs w:val="48"/>
    </w:rPr>
  </w:style>
  <w:style w:type="paragraph" w:styleId="36">
    <w:name w:val="Subtitle"/>
    <w:basedOn w:val="721"/>
    <w:next w:val="7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31"/>
    <w:link w:val="36"/>
    <w:uiPriority w:val="11"/>
    <w:rPr>
      <w:sz w:val="24"/>
      <w:szCs w:val="24"/>
    </w:rPr>
  </w:style>
  <w:style w:type="paragraph" w:styleId="38">
    <w:name w:val="Quote"/>
    <w:basedOn w:val="721"/>
    <w:next w:val="7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1"/>
    <w:next w:val="7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1"/>
    <w:link w:val="744"/>
    <w:uiPriority w:val="99"/>
  </w:style>
  <w:style w:type="character" w:styleId="45">
    <w:name w:val="Footer Char"/>
    <w:basedOn w:val="731"/>
    <w:link w:val="742"/>
    <w:uiPriority w:val="99"/>
  </w:style>
  <w:style w:type="character" w:styleId="47">
    <w:name w:val="Caption Char"/>
    <w:basedOn w:val="749"/>
    <w:link w:val="742"/>
    <w:uiPriority w:val="99"/>
  </w:style>
  <w:style w:type="table" w:styleId="49">
    <w:name w:val="Table Grid Light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62"/>
    <w:uiPriority w:val="99"/>
    <w:rPr>
      <w:sz w:val="18"/>
    </w:rPr>
  </w:style>
  <w:style w:type="character" w:styleId="179">
    <w:name w:val="Endnote Text Char"/>
    <w:link w:val="759"/>
    <w:uiPriority w:val="99"/>
    <w:rPr>
      <w:sz w:val="20"/>
    </w:rPr>
  </w:style>
  <w:style w:type="paragraph" w:styleId="18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721" w:default="1">
    <w:name w:val="Normal"/>
    <w:qFormat/>
    <w:pPr>
      <w:widowControl w:val="off"/>
    </w:pPr>
  </w:style>
  <w:style w:type="paragraph" w:styleId="722">
    <w:name w:val="Heading 1"/>
    <w:basedOn w:val="721"/>
    <w:next w:val="721"/>
    <w:link w:val="79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723">
    <w:name w:val="Heading 2"/>
    <w:basedOn w:val="721"/>
    <w:next w:val="721"/>
    <w:link w:val="753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24">
    <w:name w:val="Heading 3"/>
    <w:basedOn w:val="721"/>
    <w:next w:val="721"/>
    <w:link w:val="757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25">
    <w:name w:val="Heading 4"/>
    <w:basedOn w:val="721"/>
    <w:next w:val="721"/>
    <w:link w:val="792"/>
    <w:qFormat/>
    <w:pPr>
      <w:jc w:val="center"/>
      <w:keepNext/>
      <w:widowControl/>
      <w:outlineLvl w:val="3"/>
    </w:pPr>
    <w:rPr>
      <w:b/>
    </w:rPr>
  </w:style>
  <w:style w:type="paragraph" w:styleId="726">
    <w:name w:val="Heading 5"/>
    <w:basedOn w:val="721"/>
    <w:next w:val="721"/>
    <w:link w:val="770"/>
    <w:uiPriority w:val="9"/>
    <w:qFormat/>
    <w:pPr>
      <w:keepLines/>
      <w:keepNext/>
      <w:spacing w:before="200"/>
      <w:outlineLvl w:val="4"/>
    </w:pPr>
    <w:rPr>
      <w:rFonts w:ascii="Cambria" w:hAnsi="Cambria"/>
      <w:color w:val="243f60"/>
    </w:rPr>
  </w:style>
  <w:style w:type="paragraph" w:styleId="727">
    <w:name w:val="Heading 6"/>
    <w:basedOn w:val="721"/>
    <w:next w:val="721"/>
    <w:link w:val="754"/>
    <w:uiPriority w:val="9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28">
    <w:name w:val="Heading 7"/>
    <w:basedOn w:val="721"/>
    <w:next w:val="721"/>
    <w:link w:val="779"/>
    <w:uiPriority w:val="9"/>
    <w:qFormat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729">
    <w:name w:val="Heading 8"/>
    <w:basedOn w:val="721"/>
    <w:next w:val="721"/>
    <w:link w:val="771"/>
    <w:qFormat/>
    <w:pPr>
      <w:keepLines/>
      <w:keepNext/>
      <w:spacing w:before="200"/>
      <w:outlineLvl w:val="7"/>
    </w:pPr>
    <w:rPr>
      <w:rFonts w:ascii="Cambria" w:hAnsi="Cambria"/>
      <w:color w:val="404040"/>
    </w:rPr>
  </w:style>
  <w:style w:type="paragraph" w:styleId="730">
    <w:name w:val="Heading 9"/>
    <w:basedOn w:val="721"/>
    <w:next w:val="721"/>
    <w:link w:val="78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paragraph" w:styleId="734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735">
    <w:name w:val="Document Map"/>
    <w:basedOn w:val="721"/>
    <w:semiHidden/>
    <w:pPr>
      <w:shd w:val="clear" w:color="auto" w:fill="000080"/>
    </w:pPr>
    <w:rPr>
      <w:rFonts w:ascii="Tahoma" w:hAnsi="Tahoma"/>
    </w:rPr>
  </w:style>
  <w:style w:type="paragraph" w:styleId="736" w:customStyle="1">
    <w:name w:val="ConsPlusNonformat"/>
    <w:pPr>
      <w:widowControl w:val="off"/>
    </w:pPr>
    <w:rPr>
      <w:rFonts w:ascii="Courier New" w:hAnsi="Courier New" w:cs="Tahoma"/>
    </w:rPr>
  </w:style>
  <w:style w:type="paragraph" w:styleId="737">
    <w:name w:val="Body Text Indent 3"/>
    <w:basedOn w:val="721"/>
    <w:pPr>
      <w:ind w:firstLine="567"/>
      <w:jc w:val="both"/>
      <w:widowControl/>
    </w:pPr>
    <w:rPr>
      <w:b/>
      <w:sz w:val="24"/>
    </w:rPr>
  </w:style>
  <w:style w:type="paragraph" w:styleId="738">
    <w:name w:val="Body Text 2"/>
    <w:basedOn w:val="721"/>
    <w:link w:val="774"/>
    <w:pPr>
      <w:jc w:val="both"/>
      <w:shd w:val="clear" w:color="auto" w:fill="ffffff"/>
      <w:widowControl/>
    </w:pPr>
    <w:rPr>
      <w:sz w:val="24"/>
      <w:szCs w:val="24"/>
    </w:rPr>
  </w:style>
  <w:style w:type="paragraph" w:styleId="739">
    <w:name w:val="Body Text Indent 2"/>
    <w:basedOn w:val="721"/>
    <w:link w:val="793"/>
    <w:pPr>
      <w:ind w:left="283"/>
      <w:spacing w:after="120" w:line="480" w:lineRule="auto"/>
    </w:pPr>
  </w:style>
  <w:style w:type="paragraph" w:styleId="740">
    <w:name w:val="Body Text"/>
    <w:basedOn w:val="721"/>
    <w:link w:val="784"/>
    <w:pPr>
      <w:spacing w:after="120"/>
    </w:pPr>
  </w:style>
  <w:style w:type="paragraph" w:styleId="741">
    <w:name w:val="Title"/>
    <w:basedOn w:val="721"/>
    <w:link w:val="765"/>
    <w:qFormat/>
    <w:pPr>
      <w:jc w:val="center"/>
      <w:widowControl/>
    </w:pPr>
    <w:rPr>
      <w:b/>
      <w:sz w:val="28"/>
    </w:rPr>
  </w:style>
  <w:style w:type="paragraph" w:styleId="742">
    <w:name w:val="Footer"/>
    <w:basedOn w:val="721"/>
    <w:link w:val="788"/>
    <w:uiPriority w:val="99"/>
    <w:pPr>
      <w:tabs>
        <w:tab w:val="center" w:pos="4677" w:leader="none"/>
        <w:tab w:val="right" w:pos="9355" w:leader="none"/>
      </w:tabs>
    </w:pPr>
  </w:style>
  <w:style w:type="character" w:styleId="743">
    <w:name w:val="page number"/>
    <w:basedOn w:val="731"/>
  </w:style>
  <w:style w:type="paragraph" w:styleId="744">
    <w:name w:val="Header"/>
    <w:basedOn w:val="721"/>
    <w:link w:val="752"/>
    <w:uiPriority w:val="99"/>
    <w:pPr>
      <w:tabs>
        <w:tab w:val="center" w:pos="4677" w:leader="none"/>
        <w:tab w:val="right" w:pos="9355" w:leader="none"/>
      </w:tabs>
    </w:pPr>
  </w:style>
  <w:style w:type="paragraph" w:styleId="745" w:customStyle="1">
    <w:name w:val="ConsNonformat"/>
    <w:pPr>
      <w:widowControl w:val="off"/>
    </w:pPr>
    <w:rPr>
      <w:rFonts w:ascii="Courier New" w:hAnsi="Courier New" w:cs="Tahoma"/>
    </w:rPr>
  </w:style>
  <w:style w:type="paragraph" w:styleId="746" w:customStyle="1">
    <w:name w:val="ConsNormal"/>
    <w:pPr>
      <w:ind w:firstLine="720"/>
      <w:widowControl w:val="off"/>
    </w:pPr>
    <w:rPr>
      <w:rFonts w:ascii="Arial" w:hAnsi="Arial" w:cs="Arial"/>
    </w:rPr>
  </w:style>
  <w:style w:type="paragraph" w:styleId="747">
    <w:name w:val="toc 1"/>
    <w:basedOn w:val="721"/>
    <w:next w:val="721"/>
    <w:semiHidden/>
  </w:style>
  <w:style w:type="character" w:styleId="748">
    <w:name w:val="Hyperlink"/>
    <w:rPr>
      <w:color w:val="0000ff"/>
      <w:u w:val="single"/>
    </w:rPr>
  </w:style>
  <w:style w:type="paragraph" w:styleId="749">
    <w:name w:val="Caption"/>
    <w:basedOn w:val="721"/>
    <w:next w:val="721"/>
    <w:qFormat/>
    <w:rPr>
      <w:b/>
      <w:bCs/>
    </w:rPr>
  </w:style>
  <w:style w:type="paragraph" w:styleId="750">
    <w:name w:val="Body Text Indent"/>
    <w:basedOn w:val="721"/>
    <w:link w:val="751"/>
    <w:unhideWhenUsed/>
    <w:pPr>
      <w:ind w:left="283"/>
      <w:spacing w:after="120"/>
    </w:pPr>
  </w:style>
  <w:style w:type="character" w:styleId="751" w:customStyle="1">
    <w:name w:val="Основной текст с отступом Знак"/>
    <w:basedOn w:val="731"/>
    <w:link w:val="750"/>
    <w:uiPriority w:val="99"/>
  </w:style>
  <w:style w:type="character" w:styleId="752" w:customStyle="1">
    <w:name w:val="Верхний колонтитул Знак"/>
    <w:basedOn w:val="731"/>
    <w:link w:val="744"/>
    <w:uiPriority w:val="99"/>
  </w:style>
  <w:style w:type="character" w:styleId="753" w:customStyle="1">
    <w:name w:val="Заголовок 2 Знак"/>
    <w:link w:val="723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754" w:customStyle="1">
    <w:name w:val="Заголовок 6 Знак"/>
    <w:link w:val="727"/>
    <w:uiPriority w:val="9"/>
    <w:semiHidden/>
    <w:rPr>
      <w:rFonts w:ascii="Calibri" w:hAnsi="Calibri" w:eastAsia="Times New Roman" w:cs="Times New Roman"/>
      <w:b/>
      <w:bCs/>
      <w:sz w:val="22"/>
      <w:szCs w:val="22"/>
    </w:rPr>
  </w:style>
  <w:style w:type="paragraph" w:styleId="755">
    <w:name w:val="Body Text 3"/>
    <w:basedOn w:val="721"/>
    <w:link w:val="756"/>
    <w:pPr>
      <w:spacing w:after="120"/>
      <w:widowControl/>
    </w:pPr>
    <w:rPr>
      <w:sz w:val="16"/>
      <w:szCs w:val="16"/>
    </w:rPr>
  </w:style>
  <w:style w:type="character" w:styleId="756" w:customStyle="1">
    <w:name w:val="Основной текст 3 Знак"/>
    <w:link w:val="755"/>
    <w:rPr>
      <w:sz w:val="16"/>
      <w:szCs w:val="16"/>
    </w:rPr>
  </w:style>
  <w:style w:type="character" w:styleId="757" w:customStyle="1">
    <w:name w:val="Заголовок 3 Знак"/>
    <w:link w:val="724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table" w:styleId="758">
    <w:name w:val="Table Grid"/>
    <w:basedOn w:val="732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9">
    <w:name w:val="endnote text"/>
    <w:basedOn w:val="721"/>
    <w:link w:val="760"/>
    <w:uiPriority w:val="99"/>
    <w:semiHidden/>
    <w:unhideWhenUsed/>
  </w:style>
  <w:style w:type="character" w:styleId="760" w:customStyle="1">
    <w:name w:val="Текст концевой сноски Знак"/>
    <w:basedOn w:val="731"/>
    <w:link w:val="759"/>
    <w:uiPriority w:val="99"/>
    <w:semiHidden/>
  </w:style>
  <w:style w:type="character" w:styleId="761">
    <w:name w:val="endnote reference"/>
    <w:uiPriority w:val="99"/>
    <w:semiHidden/>
    <w:unhideWhenUsed/>
    <w:rPr>
      <w:vertAlign w:val="superscript"/>
    </w:rPr>
  </w:style>
  <w:style w:type="paragraph" w:styleId="762">
    <w:name w:val="footnote text"/>
    <w:basedOn w:val="721"/>
    <w:link w:val="763"/>
    <w:uiPriority w:val="99"/>
    <w:unhideWhenUsed/>
  </w:style>
  <w:style w:type="character" w:styleId="763" w:customStyle="1">
    <w:name w:val="Текст сноски Знак"/>
    <w:basedOn w:val="731"/>
    <w:link w:val="762"/>
    <w:uiPriority w:val="99"/>
  </w:style>
  <w:style w:type="character" w:styleId="764">
    <w:name w:val="footnote reference"/>
    <w:unhideWhenUsed/>
    <w:rPr>
      <w:vertAlign w:val="superscript"/>
    </w:rPr>
  </w:style>
  <w:style w:type="character" w:styleId="765" w:customStyle="1">
    <w:name w:val="Заголовок Знак"/>
    <w:link w:val="741"/>
    <w:rPr>
      <w:b/>
      <w:sz w:val="28"/>
    </w:rPr>
  </w:style>
  <w:style w:type="paragraph" w:styleId="766">
    <w:name w:val="Balloon Text"/>
    <w:basedOn w:val="721"/>
    <w:link w:val="767"/>
    <w:uiPriority w:val="99"/>
    <w:semiHidden/>
    <w:unhideWhenUsed/>
    <w:rPr>
      <w:rFonts w:ascii="Tahoma" w:hAnsi="Tahoma"/>
      <w:sz w:val="16"/>
      <w:szCs w:val="16"/>
    </w:rPr>
  </w:style>
  <w:style w:type="character" w:styleId="767" w:customStyle="1">
    <w:name w:val="Текст выноски Знак"/>
    <w:link w:val="766"/>
    <w:uiPriority w:val="99"/>
    <w:semiHidden/>
    <w:rPr>
      <w:rFonts w:ascii="Tahoma" w:hAnsi="Tahoma" w:cs="Tahoma"/>
      <w:sz w:val="16"/>
      <w:szCs w:val="16"/>
    </w:rPr>
  </w:style>
  <w:style w:type="paragraph" w:styleId="768" w:customStyle="1">
    <w:name w:val="Подпись к Приложению"/>
    <w:basedOn w:val="721"/>
    <w:pPr>
      <w:jc w:val="center"/>
      <w:spacing w:before="80"/>
      <w:widowControl/>
    </w:pPr>
    <w:rPr>
      <w:b/>
    </w:rPr>
  </w:style>
  <w:style w:type="paragraph" w:styleId="769" w:customStyle="1">
    <w:name w:val="ConsCell"/>
    <w:pPr>
      <w:widowControl w:val="off"/>
    </w:pPr>
    <w:rPr>
      <w:rFonts w:ascii="Arial" w:hAnsi="Arial" w:cs="Arial"/>
    </w:rPr>
  </w:style>
  <w:style w:type="character" w:styleId="770" w:customStyle="1">
    <w:name w:val="Заголовок 5 Знак"/>
    <w:link w:val="726"/>
    <w:uiPriority w:val="9"/>
    <w:semiHidden/>
    <w:rPr>
      <w:rFonts w:ascii="Cambria" w:hAnsi="Cambria" w:eastAsia="Times New Roman" w:cs="Times New Roman"/>
      <w:color w:val="243f60"/>
    </w:rPr>
  </w:style>
  <w:style w:type="character" w:styleId="771" w:customStyle="1">
    <w:name w:val="Заголовок 8 Знак"/>
    <w:link w:val="729"/>
    <w:rPr>
      <w:rFonts w:ascii="Cambria" w:hAnsi="Cambria" w:eastAsia="Times New Roman" w:cs="Times New Roman"/>
      <w:color w:val="404040"/>
    </w:rPr>
  </w:style>
  <w:style w:type="paragraph" w:styleId="772">
    <w:name w:val="Normal (Web)"/>
    <w:basedOn w:val="721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773" w:customStyle="1">
    <w:name w:val="Default"/>
    <w:rPr>
      <w:color w:val="000000"/>
      <w:sz w:val="24"/>
      <w:szCs w:val="24"/>
    </w:rPr>
  </w:style>
  <w:style w:type="character" w:styleId="774" w:customStyle="1">
    <w:name w:val="Основной текст 2 Знак"/>
    <w:link w:val="738"/>
    <w:rPr>
      <w:sz w:val="24"/>
      <w:szCs w:val="24"/>
      <w:shd w:val="clear" w:color="auto" w:fill="ffffff"/>
    </w:rPr>
  </w:style>
  <w:style w:type="character" w:styleId="775">
    <w:name w:val="Emphasis"/>
    <w:qFormat/>
    <w:rPr>
      <w:i/>
      <w:iCs/>
    </w:rPr>
  </w:style>
  <w:style w:type="paragraph" w:styleId="776" w:customStyle="1">
    <w:name w:val="Комментарий"/>
    <w:basedOn w:val="721"/>
    <w:next w:val="721"/>
    <w:pPr>
      <w:ind w:left="170"/>
      <w:jc w:val="both"/>
    </w:pPr>
    <w:rPr>
      <w:rFonts w:ascii="Arial" w:hAnsi="Arial" w:cs="Arial"/>
      <w:i/>
      <w:iCs/>
      <w:color w:val="800080"/>
      <w:sz w:val="28"/>
      <w:szCs w:val="28"/>
    </w:rPr>
  </w:style>
  <w:style w:type="paragraph" w:styleId="777" w:customStyle="1">
    <w:name w:val="msonormalbullet2.gif"/>
    <w:basedOn w:val="721"/>
    <w:pPr>
      <w:spacing w:before="100" w:beforeAutospacing="1" w:after="100" w:afterAutospacing="1"/>
      <w:widowControl/>
    </w:pPr>
    <w:rPr>
      <w:sz w:val="24"/>
      <w:szCs w:val="24"/>
    </w:rPr>
  </w:style>
  <w:style w:type="paragraph" w:styleId="778" w:customStyle="1">
    <w:name w:val="Обычный1"/>
    <w:rPr>
      <w:rFonts w:ascii="Arial" w:hAnsi="Arial"/>
      <w:sz w:val="18"/>
    </w:rPr>
  </w:style>
  <w:style w:type="character" w:styleId="779" w:customStyle="1">
    <w:name w:val="Заголовок 7 Знак"/>
    <w:link w:val="728"/>
    <w:uiPriority w:val="9"/>
    <w:semiHidden/>
    <w:rPr>
      <w:rFonts w:ascii="Calibri" w:hAnsi="Calibri" w:eastAsia="Times New Roman" w:cs="Times New Roman"/>
      <w:sz w:val="24"/>
      <w:szCs w:val="24"/>
    </w:rPr>
  </w:style>
  <w:style w:type="character" w:styleId="780" w:customStyle="1">
    <w:name w:val="Заголовок 9 Знак"/>
    <w:link w:val="730"/>
    <w:uiPriority w:val="9"/>
    <w:semiHidden/>
    <w:rPr>
      <w:rFonts w:ascii="Cambria" w:hAnsi="Cambria" w:eastAsia="Times New Roman" w:cs="Times New Roman"/>
      <w:sz w:val="22"/>
      <w:szCs w:val="22"/>
    </w:rPr>
  </w:style>
  <w:style w:type="paragraph" w:styleId="781" w:customStyle="1">
    <w:name w:val="Содержимое таблицы"/>
    <w:basedOn w:val="721"/>
    <w:pPr>
      <w:suppressLineNumbers/>
    </w:pPr>
    <w:rPr>
      <w:rFonts w:eastAsia="Andale Sans UI"/>
      <w:sz w:val="24"/>
      <w:szCs w:val="24"/>
      <w:lang w:eastAsia="ar-SA"/>
    </w:rPr>
  </w:style>
  <w:style w:type="paragraph" w:styleId="782" w:customStyle="1">
    <w:name w:val="s_16"/>
    <w:basedOn w:val="721"/>
    <w:pPr>
      <w:spacing w:before="100" w:beforeAutospacing="1" w:after="100" w:afterAutospacing="1"/>
      <w:widowControl/>
    </w:pPr>
    <w:rPr>
      <w:sz w:val="24"/>
      <w:szCs w:val="24"/>
    </w:rPr>
  </w:style>
  <w:style w:type="paragraph" w:styleId="783" w:customStyle="1">
    <w:name w:val="ConsPlusTitle"/>
    <w:pPr>
      <w:widowControl w:val="off"/>
    </w:pPr>
    <w:rPr>
      <w:rFonts w:ascii="Arial" w:hAnsi="Arial" w:cs="Arial"/>
      <w:b/>
      <w:bCs/>
      <w:sz w:val="16"/>
      <w:szCs w:val="16"/>
    </w:rPr>
  </w:style>
  <w:style w:type="character" w:styleId="784" w:customStyle="1">
    <w:name w:val="Основной текст Знак"/>
    <w:basedOn w:val="731"/>
    <w:link w:val="740"/>
  </w:style>
  <w:style w:type="paragraph" w:styleId="785">
    <w:name w:val="List Paragraph"/>
    <w:basedOn w:val="721"/>
    <w:uiPriority w:val="34"/>
    <w:qFormat/>
    <w:pPr>
      <w:contextualSpacing/>
      <w:ind w:left="720"/>
      <w:widowControl/>
    </w:pPr>
    <w:rPr>
      <w:rFonts w:eastAsia="Calibri"/>
      <w:sz w:val="24"/>
      <w:szCs w:val="24"/>
    </w:rPr>
  </w:style>
  <w:style w:type="paragraph" w:styleId="786">
    <w:name w:val="No Spacing"/>
    <w:qFormat/>
    <w:rPr>
      <w:rFonts w:ascii="Calibri" w:hAnsi="Calibri" w:eastAsia="Calibri"/>
      <w:sz w:val="22"/>
      <w:szCs w:val="22"/>
      <w:lang w:eastAsia="en-US"/>
    </w:rPr>
  </w:style>
  <w:style w:type="paragraph" w:styleId="787">
    <w:name w:val="List Bullet"/>
    <w:basedOn w:val="785"/>
    <w:unhideWhenUsed/>
    <w:qFormat/>
    <w:pPr>
      <w:numPr>
        <w:ilvl w:val="0"/>
        <w:numId w:val="17"/>
      </w:numPr>
      <w:contextualSpacing w:val="0"/>
      <w:ind w:left="709" w:firstLine="0"/>
      <w:jc w:val="both"/>
      <w:spacing w:before="60"/>
      <w:tabs>
        <w:tab w:val="clear" w:pos="0" w:leader="none"/>
        <w:tab w:val="num" w:pos="360" w:leader="none"/>
      </w:tabs>
    </w:pPr>
    <w:rPr>
      <w:rFonts w:ascii="Arial" w:hAnsi="Arial"/>
      <w:sz w:val="20"/>
      <w:szCs w:val="20"/>
      <w:lang w:eastAsia="en-US"/>
    </w:rPr>
  </w:style>
  <w:style w:type="character" w:styleId="788" w:customStyle="1">
    <w:name w:val="Нижний колонтитул Знак"/>
    <w:link w:val="742"/>
    <w:uiPriority w:val="99"/>
  </w:style>
  <w:style w:type="paragraph" w:styleId="789" w:customStyle="1">
    <w:name w:val="Основной текст с отступом 21"/>
    <w:basedOn w:val="721"/>
    <w:pPr>
      <w:ind w:firstLine="720"/>
      <w:jc w:val="both"/>
      <w:widowControl/>
    </w:pPr>
    <w:rPr>
      <w:sz w:val="28"/>
      <w:lang w:eastAsia="ar-SA"/>
    </w:rPr>
  </w:style>
  <w:style w:type="character" w:styleId="790" w:customStyle="1">
    <w:name w:val="Заголовок 1 Знак"/>
    <w:link w:val="722"/>
    <w:rPr>
      <w:rFonts w:ascii="Arial" w:hAnsi="Arial" w:cs="Arial"/>
      <w:b/>
      <w:bCs/>
      <w:sz w:val="32"/>
      <w:szCs w:val="32"/>
    </w:rPr>
  </w:style>
  <w:style w:type="paragraph" w:styleId="791" w:customStyle="1">
    <w:name w:val="Стиль"/>
    <w:pPr>
      <w:widowControl w:val="off"/>
    </w:pPr>
    <w:rPr>
      <w:rFonts w:ascii="Arial" w:hAnsi="Arial" w:cs="Arial"/>
      <w:sz w:val="22"/>
      <w:szCs w:val="22"/>
    </w:rPr>
  </w:style>
  <w:style w:type="character" w:styleId="792" w:customStyle="1">
    <w:name w:val="Заголовок 4 Знак"/>
    <w:link w:val="725"/>
    <w:rPr>
      <w:b/>
    </w:rPr>
  </w:style>
  <w:style w:type="character" w:styleId="793" w:customStyle="1">
    <w:name w:val="Основной текст с отступом 2 Знак"/>
    <w:basedOn w:val="731"/>
    <w:link w:val="739"/>
  </w:style>
  <w:style w:type="paragraph" w:styleId="794" w:customStyle="1">
    <w:name w:val="Заголовок1"/>
    <w:basedOn w:val="721"/>
    <w:next w:val="740"/>
    <w:pPr>
      <w:keepNext/>
      <w:spacing w:before="240" w:after="120"/>
      <w:widowControl/>
    </w:pPr>
    <w:rPr>
      <w:rFonts w:ascii="Arial" w:hAnsi="Arial" w:eastAsia="Lucida Sans Unicode" w:cs="Tahoma"/>
      <w:sz w:val="28"/>
      <w:szCs w:val="28"/>
      <w:lang w:eastAsia="ar-SA"/>
    </w:rPr>
  </w:style>
  <w:style w:type="paragraph" w:styleId="795">
    <w:name w:val="HTML Preformatted"/>
    <w:basedOn w:val="721"/>
    <w:link w:val="796"/>
    <w:uiPriority w:val="99"/>
    <w:semiHidden/>
    <w:unhideWhenUsed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</w:rPr>
  </w:style>
  <w:style w:type="character" w:styleId="796" w:customStyle="1">
    <w:name w:val="Стандартный HTML Знак"/>
    <w:link w:val="795"/>
    <w:uiPriority w:val="99"/>
    <w:semiHidden/>
    <w:rPr>
      <w:rFonts w:ascii="Courier New" w:hAnsi="Courier New" w:cs="Courier New"/>
    </w:rPr>
  </w:style>
  <w:style w:type="paragraph" w:styleId="797" w:customStyle="1">
    <w:name w:val="s_1"/>
    <w:basedOn w:val="721"/>
    <w:pPr>
      <w:spacing w:before="100" w:beforeAutospacing="1" w:after="100" w:afterAutospacing="1"/>
      <w:widowControl/>
    </w:pPr>
    <w:rPr>
      <w:sz w:val="24"/>
      <w:szCs w:val="24"/>
    </w:rPr>
  </w:style>
  <w:style w:type="character" w:styleId="798">
    <w:name w:val="Strong"/>
    <w:basedOn w:val="731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53615-01CC-46E4-8193-CEF2BC86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polina</dc:creator>
  <cp:lastModifiedBy>Малкова Светлана</cp:lastModifiedBy>
  <cp:revision>127</cp:revision>
  <dcterms:created xsi:type="dcterms:W3CDTF">2022-07-16T05:46:00Z</dcterms:created>
  <dcterms:modified xsi:type="dcterms:W3CDTF">2025-05-22T10:58:51Z</dcterms:modified>
</cp:coreProperties>
</file>