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64740B" w:rsidRDefault="00CF346E" w:rsidP="00091F0C">
      <w:pPr>
        <w:ind w:firstLine="720"/>
        <w:jc w:val="both"/>
      </w:pPr>
    </w:p>
    <w:p w14:paraId="723B3988" w14:textId="77777777" w:rsidR="00E22E1F" w:rsidRPr="00E22E1F" w:rsidRDefault="00E22E1F" w:rsidP="00E22E1F">
      <w:pPr>
        <w:autoSpaceDE w:val="0"/>
        <w:autoSpaceDN w:val="0"/>
        <w:adjustRightInd w:val="0"/>
        <w:jc w:val="center"/>
        <w:rPr>
          <w:bCs/>
        </w:rPr>
      </w:pPr>
      <w:r w:rsidRPr="00E22E1F">
        <w:rPr>
          <w:bCs/>
        </w:rPr>
        <w:t>О внесении изменений в Положение «О налоге на имущество физических лиц в муниципальном образовании «Город Воткинск»</w:t>
      </w:r>
    </w:p>
    <w:p w14:paraId="3853D9BE" w14:textId="77777777" w:rsidR="00301167" w:rsidRPr="00957173" w:rsidRDefault="00301167" w:rsidP="00E27897">
      <w:pPr>
        <w:autoSpaceDE w:val="0"/>
        <w:autoSpaceDN w:val="0"/>
        <w:adjustRightInd w:val="0"/>
        <w:jc w:val="center"/>
      </w:pPr>
    </w:p>
    <w:p w14:paraId="03D52F82" w14:textId="72DBB2F2" w:rsidR="00301167" w:rsidRDefault="00301167" w:rsidP="00301167">
      <w:pPr>
        <w:autoSpaceDE w:val="0"/>
        <w:autoSpaceDN w:val="0"/>
        <w:adjustRightInd w:val="0"/>
        <w:jc w:val="both"/>
      </w:pPr>
    </w:p>
    <w:p w14:paraId="716CEE6A" w14:textId="77777777" w:rsidR="00BB2FAB" w:rsidRPr="00957173" w:rsidRDefault="00BB2FAB" w:rsidP="00301167">
      <w:pPr>
        <w:autoSpaceDE w:val="0"/>
        <w:autoSpaceDN w:val="0"/>
        <w:adjustRightInd w:val="0"/>
        <w:jc w:val="both"/>
      </w:pPr>
    </w:p>
    <w:p w14:paraId="248C4DC5" w14:textId="77777777" w:rsidR="00301167" w:rsidRPr="00957173" w:rsidRDefault="00301167" w:rsidP="00301167">
      <w:pPr>
        <w:jc w:val="both"/>
      </w:pPr>
      <w:r w:rsidRPr="00957173">
        <w:t xml:space="preserve">Принято </w:t>
      </w:r>
      <w:proofErr w:type="spellStart"/>
      <w:r w:rsidRPr="00957173">
        <w:t>Воткинской</w:t>
      </w:r>
      <w:proofErr w:type="spellEnd"/>
      <w:r w:rsidRPr="00957173">
        <w:t xml:space="preserve"> </w:t>
      </w:r>
    </w:p>
    <w:p w14:paraId="3590333E" w14:textId="6393FD0E" w:rsidR="00301167" w:rsidRPr="00957173" w:rsidRDefault="00301167" w:rsidP="00301167">
      <w:pPr>
        <w:tabs>
          <w:tab w:val="left" w:pos="6804"/>
        </w:tabs>
        <w:jc w:val="both"/>
      </w:pPr>
      <w:r w:rsidRPr="00957173">
        <w:t>городской Думой</w:t>
      </w:r>
      <w:r w:rsidRPr="00957173">
        <w:tab/>
        <w:t xml:space="preserve"> </w:t>
      </w:r>
      <w:r w:rsidR="00BB2FAB">
        <w:t>30</w:t>
      </w:r>
      <w:r w:rsidR="009F3FEA" w:rsidRPr="00957173">
        <w:t xml:space="preserve"> </w:t>
      </w:r>
      <w:r w:rsidR="00BB2FAB">
        <w:t>октября</w:t>
      </w:r>
      <w:r w:rsidRPr="00957173">
        <w:t xml:space="preserve"> 2024 года</w:t>
      </w:r>
    </w:p>
    <w:p w14:paraId="780A9F98" w14:textId="7B034620" w:rsidR="00301167" w:rsidRDefault="00301167" w:rsidP="00301167">
      <w:pPr>
        <w:jc w:val="both"/>
      </w:pPr>
    </w:p>
    <w:p w14:paraId="47A62FF0" w14:textId="77777777" w:rsidR="00BB2FAB" w:rsidRPr="00957173" w:rsidRDefault="00BB2FAB" w:rsidP="00301167">
      <w:pPr>
        <w:jc w:val="both"/>
      </w:pPr>
    </w:p>
    <w:p w14:paraId="4A9994C3" w14:textId="77777777" w:rsidR="00957173" w:rsidRPr="00957173" w:rsidRDefault="00957173" w:rsidP="00957173">
      <w:pPr>
        <w:autoSpaceDE w:val="0"/>
        <w:autoSpaceDN w:val="0"/>
        <w:adjustRightInd w:val="0"/>
        <w:jc w:val="both"/>
      </w:pPr>
    </w:p>
    <w:p w14:paraId="3A8632C5" w14:textId="292A4559" w:rsidR="00E22E1F" w:rsidRPr="00E22E1F" w:rsidRDefault="00E22E1F" w:rsidP="00B031BC">
      <w:pPr>
        <w:widowControl w:val="0"/>
        <w:spacing w:line="20" w:lineRule="atLeast"/>
        <w:ind w:firstLine="709"/>
        <w:jc w:val="both"/>
      </w:pPr>
      <w:proofErr w:type="gramStart"/>
      <w:r w:rsidRPr="00E22E1F">
        <w:t xml:space="preserve">В целях приведения муниципальной правовой базы в соответствие </w:t>
      </w:r>
      <w:r w:rsidR="00F6166E">
        <w:t>с Налоговым к</w:t>
      </w:r>
      <w:r w:rsidRPr="00E22E1F">
        <w:t>одексом Российской Федерации</w:t>
      </w:r>
      <w:r w:rsidR="00A73569">
        <w:t>,</w:t>
      </w:r>
      <w:r w:rsidRPr="00E22E1F">
        <w:t xml:space="preserve"> в котор</w:t>
      </w:r>
      <w:r w:rsidR="00F6166E">
        <w:t xml:space="preserve">ый Федеральным законом от 12 июля </w:t>
      </w:r>
      <w:r w:rsidRPr="00E22E1F">
        <w:t>2024</w:t>
      </w:r>
      <w:r w:rsidR="00F6166E">
        <w:t xml:space="preserve"> года  № </w:t>
      </w:r>
      <w:r w:rsidRPr="00E22E1F"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</w:t>
      </w:r>
      <w:r w:rsidR="00F6166E">
        <w:t xml:space="preserve">х актов Российской Федерации» </w:t>
      </w:r>
      <w:r w:rsidRPr="00E22E1F">
        <w:t>были внесены изменения, руководствуясь Уставом муниципального образования «Город Воткинск», Дума</w:t>
      </w:r>
      <w:proofErr w:type="gramEnd"/>
      <w:r w:rsidRPr="00E22E1F">
        <w:t xml:space="preserve"> решает:</w:t>
      </w:r>
    </w:p>
    <w:p w14:paraId="49567087" w14:textId="6D78CA69" w:rsidR="00E22E1F" w:rsidRPr="00E22E1F" w:rsidRDefault="00E22E1F" w:rsidP="00B031BC">
      <w:pPr>
        <w:widowControl w:val="0"/>
        <w:spacing w:line="20" w:lineRule="atLeast"/>
        <w:ind w:firstLine="709"/>
        <w:jc w:val="both"/>
      </w:pPr>
      <w:r w:rsidRPr="00E22E1F">
        <w:t>Внести в Положение «О налоге на имущество физических лиц в муниципальном образовании «Город Воткинск», утвержд</w:t>
      </w:r>
      <w:r w:rsidR="00A73569">
        <w:t>ё</w:t>
      </w:r>
      <w:r w:rsidRPr="00E22E1F">
        <w:t xml:space="preserve">нное Решением </w:t>
      </w:r>
      <w:proofErr w:type="spellStart"/>
      <w:r w:rsidRPr="00E22E1F">
        <w:t>Воткинской</w:t>
      </w:r>
      <w:proofErr w:type="spellEnd"/>
      <w:r w:rsidRPr="00E22E1F">
        <w:t xml:space="preserve"> городской Думы от 26 ноября 2014 года № 437</w:t>
      </w:r>
      <w:r w:rsidR="00F6166E">
        <w:t>,</w:t>
      </w:r>
      <w:r w:rsidRPr="00E22E1F">
        <w:t xml:space="preserve"> следующие изменения:</w:t>
      </w:r>
    </w:p>
    <w:p w14:paraId="1427D764" w14:textId="5F27258A" w:rsidR="00E22E1F" w:rsidRPr="00E22E1F" w:rsidRDefault="00B031BC" w:rsidP="00E22E1F">
      <w:pPr>
        <w:widowControl w:val="0"/>
        <w:tabs>
          <w:tab w:val="left" w:pos="0"/>
        </w:tabs>
        <w:spacing w:line="20" w:lineRule="atLeast"/>
        <w:ind w:firstLine="426"/>
        <w:jc w:val="both"/>
      </w:pPr>
      <w:r>
        <w:tab/>
      </w:r>
      <w:r w:rsidR="00E22E1F" w:rsidRPr="00E22E1F">
        <w:t>1) статью 3 изложить в следующей редакции:</w:t>
      </w:r>
    </w:p>
    <w:p w14:paraId="577EE3D4" w14:textId="55455051" w:rsidR="00E22E1F" w:rsidRPr="00E22E1F" w:rsidRDefault="00B031BC" w:rsidP="00E22E1F">
      <w:pPr>
        <w:widowControl w:val="0"/>
        <w:tabs>
          <w:tab w:val="left" w:pos="0"/>
        </w:tabs>
        <w:spacing w:line="20" w:lineRule="atLeast"/>
        <w:ind w:firstLine="426"/>
        <w:jc w:val="both"/>
      </w:pPr>
      <w:r>
        <w:tab/>
      </w:r>
      <w:r w:rsidR="00E22E1F" w:rsidRPr="00E22E1F">
        <w:t>«Статья 3. Налоговые ставки</w:t>
      </w:r>
    </w:p>
    <w:p w14:paraId="39F72750" w14:textId="68986C42" w:rsidR="00E22E1F" w:rsidRPr="00E22E1F" w:rsidRDefault="00E22E1F" w:rsidP="00B031BC">
      <w:pPr>
        <w:widowControl w:val="0"/>
        <w:spacing w:line="20" w:lineRule="atLeast"/>
        <w:ind w:firstLine="709"/>
        <w:jc w:val="both"/>
      </w:pPr>
      <w:r w:rsidRPr="00E22E1F">
        <w:t>1. Налоговые ставки устанавливаются дифференцированно в зависимости от кадастровой стоимости объекта налогообложения и вида объекта налогообложения в размерах</w:t>
      </w:r>
      <w:r w:rsidR="00A73569">
        <w:t xml:space="preserve"> </w:t>
      </w:r>
      <w:proofErr w:type="gramStart"/>
      <w:r w:rsidRPr="00E22E1F">
        <w:t>согласно</w:t>
      </w:r>
      <w:proofErr w:type="gramEnd"/>
      <w:r w:rsidRPr="00E22E1F">
        <w:t xml:space="preserve"> настоящей статьи.</w:t>
      </w:r>
    </w:p>
    <w:p w14:paraId="59AC0619" w14:textId="5453CDA3" w:rsidR="00E22E1F" w:rsidRPr="00E22E1F" w:rsidRDefault="00F6166E" w:rsidP="00B031BC">
      <w:pPr>
        <w:widowControl w:val="0"/>
        <w:spacing w:line="20" w:lineRule="atLeast"/>
        <w:ind w:firstLine="709"/>
        <w:jc w:val="both"/>
      </w:pPr>
      <w:r>
        <w:t xml:space="preserve">2. </w:t>
      </w:r>
      <w:r w:rsidR="00E22E1F" w:rsidRPr="00E22E1F">
        <w:t xml:space="preserve">Для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 налоговые ставки устанавливаются в размерах </w:t>
      </w:r>
      <w:proofErr w:type="gramStart"/>
      <w:r w:rsidR="00E22E1F" w:rsidRPr="00E22E1F">
        <w:t>согласно</w:t>
      </w:r>
      <w:proofErr w:type="gramEnd"/>
      <w:r w:rsidR="00E22E1F" w:rsidRPr="00E22E1F">
        <w:t xml:space="preserve"> нижеприведённой таблицы:   </w:t>
      </w:r>
    </w:p>
    <w:p w14:paraId="3772C559" w14:textId="77777777" w:rsidR="00E22E1F" w:rsidRPr="00E22E1F" w:rsidRDefault="00E22E1F" w:rsidP="00F6166E">
      <w:pPr>
        <w:widowControl w:val="0"/>
        <w:spacing w:line="20" w:lineRule="atLeast"/>
        <w:ind w:firstLine="426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7"/>
        <w:gridCol w:w="2665"/>
      </w:tblGrid>
      <w:tr w:rsidR="00E22E1F" w:rsidRPr="00E22E1F" w14:paraId="7B5FFE9E" w14:textId="77777777" w:rsidTr="00B031BC">
        <w:tc>
          <w:tcPr>
            <w:tcW w:w="6737" w:type="dxa"/>
          </w:tcPr>
          <w:p w14:paraId="4909C01F" w14:textId="77777777" w:rsidR="00E22E1F" w:rsidRPr="00E22E1F" w:rsidRDefault="00E22E1F" w:rsidP="00F6166E">
            <w:pPr>
              <w:widowControl w:val="0"/>
              <w:spacing w:line="20" w:lineRule="atLeast"/>
              <w:ind w:firstLine="782"/>
              <w:jc w:val="center"/>
            </w:pPr>
            <w:r w:rsidRPr="00E22E1F">
              <w:t>Кадастровая стоимость объекта налогообложения</w:t>
            </w:r>
          </w:p>
          <w:p w14:paraId="161C4878" w14:textId="77777777" w:rsidR="00E22E1F" w:rsidRPr="00E22E1F" w:rsidRDefault="00E22E1F" w:rsidP="00F6166E">
            <w:pPr>
              <w:widowControl w:val="0"/>
              <w:spacing w:line="20" w:lineRule="atLeast"/>
              <w:ind w:firstLine="782"/>
              <w:jc w:val="center"/>
            </w:pPr>
            <w:r w:rsidRPr="00E22E1F">
              <w:t>(миллионов рублей)</w:t>
            </w:r>
          </w:p>
        </w:tc>
        <w:tc>
          <w:tcPr>
            <w:tcW w:w="2665" w:type="dxa"/>
          </w:tcPr>
          <w:p w14:paraId="5614E9F3" w14:textId="77777777" w:rsidR="00E22E1F" w:rsidRPr="00E22E1F" w:rsidRDefault="00E22E1F" w:rsidP="00F6166E">
            <w:pPr>
              <w:widowControl w:val="0"/>
              <w:spacing w:line="20" w:lineRule="atLeast"/>
              <w:jc w:val="center"/>
            </w:pPr>
            <w:r w:rsidRPr="00E22E1F">
              <w:t>Ставка налога (процентов)</w:t>
            </w:r>
          </w:p>
        </w:tc>
      </w:tr>
      <w:tr w:rsidR="00E22E1F" w:rsidRPr="00E22E1F" w14:paraId="6B770340" w14:textId="77777777" w:rsidTr="00B031BC">
        <w:tc>
          <w:tcPr>
            <w:tcW w:w="6737" w:type="dxa"/>
          </w:tcPr>
          <w:p w14:paraId="2CB7F075" w14:textId="77777777" w:rsidR="00E22E1F" w:rsidRPr="00E22E1F" w:rsidRDefault="00E22E1F" w:rsidP="00F6166E">
            <w:pPr>
              <w:widowControl w:val="0"/>
              <w:spacing w:line="20" w:lineRule="atLeast"/>
              <w:ind w:firstLine="215"/>
              <w:jc w:val="both"/>
            </w:pPr>
            <w:r w:rsidRPr="00E22E1F">
              <w:t>До 10 (включительно)</w:t>
            </w:r>
          </w:p>
        </w:tc>
        <w:tc>
          <w:tcPr>
            <w:tcW w:w="2665" w:type="dxa"/>
          </w:tcPr>
          <w:p w14:paraId="27907220" w14:textId="77777777" w:rsidR="00E22E1F" w:rsidRPr="00E22E1F" w:rsidRDefault="00E22E1F" w:rsidP="00F6166E">
            <w:pPr>
              <w:widowControl w:val="0"/>
              <w:spacing w:line="20" w:lineRule="atLeast"/>
              <w:ind w:firstLine="426"/>
              <w:jc w:val="center"/>
            </w:pPr>
            <w:r w:rsidRPr="00E22E1F">
              <w:t>0,1</w:t>
            </w:r>
          </w:p>
        </w:tc>
      </w:tr>
      <w:tr w:rsidR="00E22E1F" w:rsidRPr="00E22E1F" w14:paraId="2D164FBF" w14:textId="77777777" w:rsidTr="00B031BC">
        <w:tc>
          <w:tcPr>
            <w:tcW w:w="6737" w:type="dxa"/>
          </w:tcPr>
          <w:p w14:paraId="4FC48EFB" w14:textId="77777777" w:rsidR="00E22E1F" w:rsidRPr="00E22E1F" w:rsidRDefault="00E22E1F" w:rsidP="00F6166E">
            <w:pPr>
              <w:widowControl w:val="0"/>
              <w:spacing w:line="20" w:lineRule="atLeast"/>
              <w:ind w:firstLine="215"/>
              <w:jc w:val="both"/>
            </w:pPr>
            <w:r w:rsidRPr="00E22E1F">
              <w:t>Свыше 10 до 50 (включительно)</w:t>
            </w:r>
          </w:p>
        </w:tc>
        <w:tc>
          <w:tcPr>
            <w:tcW w:w="2665" w:type="dxa"/>
          </w:tcPr>
          <w:p w14:paraId="42AE2034" w14:textId="77777777" w:rsidR="00E22E1F" w:rsidRPr="00E22E1F" w:rsidRDefault="00E22E1F" w:rsidP="00F6166E">
            <w:pPr>
              <w:widowControl w:val="0"/>
              <w:spacing w:line="20" w:lineRule="atLeast"/>
              <w:ind w:firstLine="426"/>
              <w:jc w:val="center"/>
            </w:pPr>
            <w:r w:rsidRPr="00E22E1F">
              <w:t>0,2</w:t>
            </w:r>
          </w:p>
        </w:tc>
      </w:tr>
      <w:tr w:rsidR="00E22E1F" w:rsidRPr="00E22E1F" w14:paraId="6C41B90F" w14:textId="77777777" w:rsidTr="00B031BC">
        <w:tc>
          <w:tcPr>
            <w:tcW w:w="6737" w:type="dxa"/>
          </w:tcPr>
          <w:p w14:paraId="4BFE1898" w14:textId="77777777" w:rsidR="00E22E1F" w:rsidRPr="00E22E1F" w:rsidRDefault="00E22E1F" w:rsidP="00F6166E">
            <w:pPr>
              <w:widowControl w:val="0"/>
              <w:spacing w:line="20" w:lineRule="atLeast"/>
              <w:ind w:firstLine="215"/>
              <w:jc w:val="both"/>
            </w:pPr>
            <w:r w:rsidRPr="00E22E1F">
              <w:t>Свыше 50 до 300 (включительно)</w:t>
            </w:r>
          </w:p>
        </w:tc>
        <w:tc>
          <w:tcPr>
            <w:tcW w:w="2665" w:type="dxa"/>
          </w:tcPr>
          <w:p w14:paraId="6E02609F" w14:textId="77777777" w:rsidR="00E22E1F" w:rsidRPr="00E22E1F" w:rsidRDefault="00E22E1F" w:rsidP="00F6166E">
            <w:pPr>
              <w:widowControl w:val="0"/>
              <w:spacing w:line="20" w:lineRule="atLeast"/>
              <w:ind w:firstLine="426"/>
              <w:jc w:val="center"/>
            </w:pPr>
            <w:r w:rsidRPr="00E22E1F">
              <w:t>0,3</w:t>
            </w:r>
          </w:p>
        </w:tc>
      </w:tr>
    </w:tbl>
    <w:p w14:paraId="306553AF" w14:textId="7C514808" w:rsidR="00E22E1F" w:rsidRDefault="00B031BC" w:rsidP="00B031BC">
      <w:pPr>
        <w:widowControl w:val="0"/>
        <w:spacing w:line="20" w:lineRule="atLeast"/>
        <w:ind w:firstLine="709"/>
        <w:jc w:val="both"/>
      </w:pPr>
      <w:r>
        <w:t xml:space="preserve">3. </w:t>
      </w:r>
      <w:r w:rsidR="00E22E1F" w:rsidRPr="00E22E1F">
        <w:t xml:space="preserve">Для гаражей и </w:t>
      </w:r>
      <w:proofErr w:type="spellStart"/>
      <w:r w:rsidR="00E22E1F" w:rsidRPr="00E22E1F">
        <w:t>машиномест</w:t>
      </w:r>
      <w:proofErr w:type="spellEnd"/>
      <w:r w:rsidR="00E22E1F" w:rsidRPr="00E22E1F">
        <w:t xml:space="preserve">, в том числе расположенных в объектах налогообложения, указанных в части 4 настоящей статьи; хозяйственных строений или сооружений, площадь каждого из которых не превышает 50 квадратных метров и которые </w:t>
      </w:r>
      <w:r w:rsidR="00E22E1F" w:rsidRPr="00E22E1F">
        <w:lastRenderedPageBreak/>
        <w:t xml:space="preserve">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хозяйственных строений или помещений (кладовая или кладовка), площадь </w:t>
      </w:r>
      <w:proofErr w:type="gramStart"/>
      <w:r w:rsidR="00E22E1F" w:rsidRPr="00E22E1F">
        <w:t>каждого</w:t>
      </w:r>
      <w:proofErr w:type="gramEnd"/>
      <w:r w:rsidR="00E22E1F" w:rsidRPr="00E22E1F">
        <w:t xml:space="preserve"> из которых не превышает 50 квадратных метров, кадастровая стоимость которых составляет до 300 миллионов рублей включительно</w:t>
      </w:r>
      <w:r w:rsidR="00A84344">
        <w:t>,</w:t>
      </w:r>
      <w:r w:rsidR="00E22E1F" w:rsidRPr="00E22E1F">
        <w:t xml:space="preserve"> налоговая ставка устанавливается в размере 0,1 процента.</w:t>
      </w:r>
    </w:p>
    <w:p w14:paraId="3A483552" w14:textId="7FEF1FB2" w:rsidR="00E22E1F" w:rsidRPr="00E22E1F" w:rsidRDefault="00E22E1F" w:rsidP="00B031BC">
      <w:pPr>
        <w:widowControl w:val="0"/>
        <w:spacing w:line="20" w:lineRule="atLeast"/>
        <w:ind w:firstLine="709"/>
        <w:jc w:val="both"/>
      </w:pPr>
      <w:r w:rsidRPr="00E22E1F">
        <w:t xml:space="preserve">4. Для объектов </w:t>
      </w:r>
      <w:r w:rsidR="00B031BC">
        <w:t>налогообложения, включё</w:t>
      </w:r>
      <w:bookmarkStart w:id="0" w:name="_GoBack"/>
      <w:bookmarkEnd w:id="0"/>
      <w:r w:rsidRPr="00A84344">
        <w:t xml:space="preserve">нных в перечень, определяемый в соответствии с </w:t>
      </w:r>
      <w:hyperlink r:id="rId10">
        <w:r w:rsidRPr="00A84344">
          <w:rPr>
            <w:rStyle w:val="a9"/>
            <w:color w:val="auto"/>
            <w:u w:val="none"/>
          </w:rPr>
          <w:t>пунктом 7 статьи 378.2</w:t>
        </w:r>
      </w:hyperlink>
      <w:r w:rsidRPr="00A84344">
        <w:t xml:space="preserve"> Налогового кодекса Российской Федерации и объектов налогообложения, предусмотренных </w:t>
      </w:r>
      <w:hyperlink r:id="rId11">
        <w:r w:rsidRPr="00A84344">
          <w:rPr>
            <w:rStyle w:val="a9"/>
            <w:color w:val="auto"/>
            <w:u w:val="none"/>
          </w:rPr>
          <w:t>абзацем вторым пункта 10 статьи 378.2</w:t>
        </w:r>
      </w:hyperlink>
      <w:r w:rsidRPr="00A84344">
        <w:t xml:space="preserve"> Налогового кодекса Российской Федерации, налоговые ставки устанавливаются в размерах </w:t>
      </w:r>
      <w:proofErr w:type="gramStart"/>
      <w:r w:rsidRPr="00A84344">
        <w:t>согласно</w:t>
      </w:r>
      <w:proofErr w:type="gramEnd"/>
      <w:r w:rsidRPr="00A84344">
        <w:t xml:space="preserve"> нижеприведённой таблицы</w:t>
      </w:r>
      <w:r w:rsidRPr="00E22E1F">
        <w:t xml:space="preserve">:   </w:t>
      </w:r>
    </w:p>
    <w:p w14:paraId="7F324EF8" w14:textId="77777777" w:rsidR="00E22E1F" w:rsidRPr="00E22E1F" w:rsidRDefault="00E22E1F" w:rsidP="00F6166E">
      <w:pPr>
        <w:widowControl w:val="0"/>
        <w:spacing w:line="20" w:lineRule="atLeast"/>
        <w:ind w:firstLine="426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9"/>
        <w:gridCol w:w="2494"/>
      </w:tblGrid>
      <w:tr w:rsidR="00E22E1F" w:rsidRPr="00E22E1F" w14:paraId="2F322260" w14:textId="77777777" w:rsidTr="00B031BC">
        <w:tc>
          <w:tcPr>
            <w:tcW w:w="6879" w:type="dxa"/>
          </w:tcPr>
          <w:p w14:paraId="480C8B89" w14:textId="77777777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426"/>
              <w:jc w:val="center"/>
            </w:pPr>
            <w:r w:rsidRPr="00E22E1F">
              <w:t>Кадастровая стоимость объекта налогообложения</w:t>
            </w:r>
          </w:p>
          <w:p w14:paraId="2451E1F6" w14:textId="77777777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426"/>
              <w:jc w:val="center"/>
            </w:pPr>
            <w:r w:rsidRPr="00E22E1F">
              <w:t>(миллионов рублей)</w:t>
            </w:r>
          </w:p>
        </w:tc>
        <w:tc>
          <w:tcPr>
            <w:tcW w:w="2494" w:type="dxa"/>
          </w:tcPr>
          <w:p w14:paraId="74565003" w14:textId="77777777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426"/>
              <w:jc w:val="center"/>
            </w:pPr>
            <w:r w:rsidRPr="00E22E1F">
              <w:t>Ставка налога</w:t>
            </w:r>
          </w:p>
          <w:p w14:paraId="2E488564" w14:textId="77777777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426"/>
              <w:jc w:val="center"/>
            </w:pPr>
            <w:r w:rsidRPr="00E22E1F">
              <w:t>(процентов)</w:t>
            </w:r>
          </w:p>
        </w:tc>
      </w:tr>
      <w:tr w:rsidR="00E22E1F" w:rsidRPr="00E22E1F" w14:paraId="6A1E8A76" w14:textId="77777777" w:rsidTr="00B031BC">
        <w:tc>
          <w:tcPr>
            <w:tcW w:w="6879" w:type="dxa"/>
          </w:tcPr>
          <w:p w14:paraId="315D7692" w14:textId="77777777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215"/>
              <w:jc w:val="both"/>
            </w:pPr>
            <w:r w:rsidRPr="00E22E1F">
              <w:t>До 20 (включительно)</w:t>
            </w:r>
          </w:p>
        </w:tc>
        <w:tc>
          <w:tcPr>
            <w:tcW w:w="2494" w:type="dxa"/>
          </w:tcPr>
          <w:p w14:paraId="699A93A2" w14:textId="58FB7298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426"/>
              <w:jc w:val="center"/>
            </w:pPr>
            <w:r w:rsidRPr="00E22E1F">
              <w:t>0,5</w:t>
            </w:r>
          </w:p>
        </w:tc>
      </w:tr>
      <w:tr w:rsidR="00E22E1F" w:rsidRPr="00E22E1F" w14:paraId="5FB2C18F" w14:textId="77777777" w:rsidTr="00B031BC">
        <w:tc>
          <w:tcPr>
            <w:tcW w:w="6879" w:type="dxa"/>
          </w:tcPr>
          <w:p w14:paraId="30B2BE30" w14:textId="77777777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215"/>
              <w:jc w:val="both"/>
            </w:pPr>
            <w:r w:rsidRPr="00E22E1F">
              <w:t>Свыше 20 до 30 (включительно)</w:t>
            </w:r>
          </w:p>
        </w:tc>
        <w:tc>
          <w:tcPr>
            <w:tcW w:w="2494" w:type="dxa"/>
          </w:tcPr>
          <w:p w14:paraId="543711CD" w14:textId="41681ADE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426"/>
              <w:jc w:val="center"/>
            </w:pPr>
            <w:r w:rsidRPr="00E22E1F">
              <w:t>1,0</w:t>
            </w:r>
          </w:p>
        </w:tc>
      </w:tr>
      <w:tr w:rsidR="00E22E1F" w:rsidRPr="00E22E1F" w14:paraId="2C02DE3F" w14:textId="77777777" w:rsidTr="00B031BC">
        <w:tc>
          <w:tcPr>
            <w:tcW w:w="6879" w:type="dxa"/>
          </w:tcPr>
          <w:p w14:paraId="67B86DDA" w14:textId="77777777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215"/>
              <w:jc w:val="both"/>
            </w:pPr>
            <w:r w:rsidRPr="00E22E1F">
              <w:t>Свыше 30 до 300 (включительно)</w:t>
            </w:r>
          </w:p>
        </w:tc>
        <w:tc>
          <w:tcPr>
            <w:tcW w:w="2494" w:type="dxa"/>
          </w:tcPr>
          <w:p w14:paraId="295B3B68" w14:textId="51DB94D5" w:rsidR="00E22E1F" w:rsidRPr="00E22E1F" w:rsidRDefault="00E22E1F" w:rsidP="00A84344">
            <w:pPr>
              <w:widowControl w:val="0"/>
              <w:tabs>
                <w:tab w:val="left" w:pos="0"/>
              </w:tabs>
              <w:spacing w:line="20" w:lineRule="atLeast"/>
              <w:ind w:firstLine="426"/>
              <w:jc w:val="center"/>
            </w:pPr>
            <w:r w:rsidRPr="00E22E1F">
              <w:t>2,0</w:t>
            </w:r>
          </w:p>
        </w:tc>
      </w:tr>
    </w:tbl>
    <w:p w14:paraId="6177819B" w14:textId="77777777" w:rsidR="00C40ED6" w:rsidRDefault="00C40ED6" w:rsidP="00A84344">
      <w:pPr>
        <w:widowControl w:val="0"/>
        <w:tabs>
          <w:tab w:val="left" w:pos="0"/>
        </w:tabs>
        <w:spacing w:line="20" w:lineRule="atLeast"/>
        <w:ind w:firstLine="709"/>
        <w:jc w:val="both"/>
      </w:pPr>
    </w:p>
    <w:p w14:paraId="0514EC16" w14:textId="7B3954CF" w:rsidR="00E22E1F" w:rsidRPr="00E22E1F" w:rsidRDefault="00E22E1F" w:rsidP="00A84344">
      <w:pPr>
        <w:widowControl w:val="0"/>
        <w:tabs>
          <w:tab w:val="left" w:pos="0"/>
        </w:tabs>
        <w:spacing w:line="20" w:lineRule="atLeast"/>
        <w:ind w:firstLine="709"/>
        <w:jc w:val="both"/>
      </w:pPr>
      <w:r w:rsidRPr="00E22E1F">
        <w:t xml:space="preserve">5. Для прочих объектов налогообложения (не перечисленных в частях 2, 3, 4 настоящей статьи) кадастровая стоимость которых </w:t>
      </w:r>
      <w:proofErr w:type="gramStart"/>
      <w:r w:rsidRPr="00E22E1F">
        <w:t>составляет до 300 миллионов рублей включительно налоговая ставка устанавливается</w:t>
      </w:r>
      <w:proofErr w:type="gramEnd"/>
      <w:r w:rsidRPr="00E22E1F">
        <w:t xml:space="preserve"> в размере 0,5 процента.</w:t>
      </w:r>
    </w:p>
    <w:p w14:paraId="0EB1A944" w14:textId="3E432376" w:rsidR="00E22E1F" w:rsidRPr="00E22E1F" w:rsidRDefault="00E22E1F" w:rsidP="00A84344">
      <w:pPr>
        <w:widowControl w:val="0"/>
        <w:tabs>
          <w:tab w:val="left" w:pos="0"/>
        </w:tabs>
        <w:spacing w:line="20" w:lineRule="atLeast"/>
        <w:ind w:firstLine="709"/>
        <w:jc w:val="both"/>
      </w:pPr>
      <w:r w:rsidRPr="00E22E1F">
        <w:t>6. Для объектов налогообложения</w:t>
      </w:r>
      <w:r w:rsidR="00975E0B">
        <w:t>,</w:t>
      </w:r>
      <w:r w:rsidRPr="00E22E1F">
        <w:t xml:space="preserve"> кадастровая стоимость каждого из которых превышает 300 миллионов рублей</w:t>
      </w:r>
      <w:r w:rsidR="00975E0B">
        <w:t>,</w:t>
      </w:r>
      <w:r w:rsidRPr="00E22E1F">
        <w:t xml:space="preserve"> налоговая ставка устанавливается в размере 2,5 процента</w:t>
      </w:r>
      <w:proofErr w:type="gramStart"/>
      <w:r w:rsidRPr="00E22E1F">
        <w:t>.»;</w:t>
      </w:r>
    </w:p>
    <w:p w14:paraId="50B73BB1" w14:textId="3DB35B2C" w:rsidR="00E22E1F" w:rsidRPr="00E22E1F" w:rsidRDefault="00E22E1F" w:rsidP="00A84344">
      <w:pPr>
        <w:widowControl w:val="0"/>
        <w:tabs>
          <w:tab w:val="left" w:pos="0"/>
        </w:tabs>
        <w:spacing w:line="20" w:lineRule="atLeast"/>
        <w:ind w:firstLine="709"/>
        <w:jc w:val="both"/>
      </w:pPr>
      <w:proofErr w:type="gramEnd"/>
      <w:r w:rsidRPr="00E22E1F">
        <w:t>2) статью 3.1 признать утратившей силу.</w:t>
      </w:r>
    </w:p>
    <w:p w14:paraId="2079D2AA" w14:textId="24BD6DCB" w:rsidR="00E22E1F" w:rsidRPr="00E22E1F" w:rsidRDefault="00E22E1F" w:rsidP="00A84344">
      <w:pPr>
        <w:widowControl w:val="0"/>
        <w:tabs>
          <w:tab w:val="left" w:pos="0"/>
        </w:tabs>
        <w:spacing w:line="20" w:lineRule="atLeast"/>
        <w:ind w:firstLine="709"/>
        <w:jc w:val="both"/>
        <w:rPr>
          <w:bCs/>
        </w:rPr>
      </w:pPr>
      <w:r w:rsidRPr="00E22E1F">
        <w:rPr>
          <w:bCs/>
        </w:rPr>
        <w:t xml:space="preserve">2. Настоящее Решение подлежит обнародованию и вступает в силу с 1 января 2025 года, но не ранее чем по истечении одного месяца со дня его обнародования. </w:t>
      </w:r>
    </w:p>
    <w:p w14:paraId="7C9383AB" w14:textId="694A6950" w:rsidR="00E22E1F" w:rsidRPr="00E22E1F" w:rsidRDefault="00E22E1F" w:rsidP="00A84344">
      <w:pPr>
        <w:widowControl w:val="0"/>
        <w:tabs>
          <w:tab w:val="left" w:pos="0"/>
        </w:tabs>
        <w:spacing w:line="20" w:lineRule="atLeast"/>
        <w:ind w:firstLine="709"/>
        <w:jc w:val="both"/>
      </w:pPr>
      <w:r w:rsidRPr="00E22E1F">
        <w:t>3. Обнародовать настоящее Решение пут</w:t>
      </w:r>
      <w:r w:rsidR="00A84344">
        <w:t>ё</w:t>
      </w:r>
      <w:r w:rsidRPr="00E22E1F">
        <w:t>м размещения в сетевом издании «Официальные документы муниципального образования «Город Воткинск».</w:t>
      </w:r>
    </w:p>
    <w:p w14:paraId="45833FFF" w14:textId="422F3500" w:rsidR="0064740B" w:rsidRPr="00957173" w:rsidRDefault="0064740B" w:rsidP="00E22E1F">
      <w:pPr>
        <w:widowControl w:val="0"/>
        <w:tabs>
          <w:tab w:val="left" w:pos="0"/>
        </w:tabs>
        <w:spacing w:line="20" w:lineRule="atLeast"/>
        <w:ind w:firstLine="426"/>
        <w:jc w:val="both"/>
        <w:rPr>
          <w:color w:val="000000"/>
        </w:rPr>
      </w:pPr>
    </w:p>
    <w:p w14:paraId="573AEBE8" w14:textId="083A5534" w:rsidR="00301167" w:rsidRDefault="00301167" w:rsidP="00301167">
      <w:pPr>
        <w:widowControl w:val="0"/>
        <w:tabs>
          <w:tab w:val="left" w:pos="0"/>
        </w:tabs>
        <w:spacing w:line="20" w:lineRule="atLeast"/>
        <w:jc w:val="both"/>
      </w:pPr>
    </w:p>
    <w:p w14:paraId="40E373E6" w14:textId="70E2076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2A4229B9" w14:textId="4747601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183D5F6B" w14:textId="77777777" w:rsidR="00BB2FAB" w:rsidRPr="00957173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0A790E0F" w14:textId="77777777" w:rsidR="00370273" w:rsidRPr="00957173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F6166E" w:rsidRDefault="00F6166E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F6166E" w:rsidRDefault="00F6166E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F6166E" w:rsidRDefault="00F6166E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F6166E" w:rsidRDefault="00F6166E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F6166E" w:rsidRDefault="00F6166E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5A21C48A" w:rsidR="00F6166E" w:rsidRDefault="00F6166E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30 октября 2024 года</w:t>
                              </w:r>
                            </w:p>
                            <w:p w14:paraId="4B217BF1" w14:textId="349123BE" w:rsidR="00F6166E" w:rsidRDefault="00F6166E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436-РН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F6166E" w:rsidRDefault="00F6166E" w:rsidP="00370273">
                              <w:pPr>
                                <w:jc w:val="both"/>
                              </w:pPr>
                              <w:r>
                                <w:t xml:space="preserve">Председатель </w:t>
                              </w:r>
                              <w:proofErr w:type="spellStart"/>
                              <w:r>
                                <w:t>Воткинской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14:paraId="215F95B4" w14:textId="77777777" w:rsidR="00F6166E" w:rsidRDefault="00F6166E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F6166E" w:rsidRDefault="00F6166E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F6166E" w:rsidRDefault="00F6166E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F6166E" w:rsidRDefault="00F6166E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F6166E" w:rsidRDefault="00F6166E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F6166E" w:rsidRDefault="00F6166E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F6166E" w:rsidRDefault="00F6166E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F6166E" w:rsidRDefault="00F6166E" w:rsidP="00675DC0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>
                          <w:t>А.В.Заметаев</w:t>
                        </w:r>
                        <w:proofErr w:type="spellEnd"/>
                      </w:p>
                      <w:p w14:paraId="63335285" w14:textId="77777777" w:rsidR="00F6166E" w:rsidRDefault="00F6166E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5A21C48A" w:rsidR="00F6166E" w:rsidRDefault="00F6166E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30 октября 2024 года</w:t>
                        </w:r>
                      </w:p>
                      <w:p w14:paraId="4B217BF1" w14:textId="349123BE" w:rsidR="00F6166E" w:rsidRDefault="00F6166E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436-РН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F6166E" w:rsidRDefault="00F6166E" w:rsidP="00370273">
                        <w:pPr>
                          <w:jc w:val="both"/>
                        </w:pPr>
                        <w:r>
                          <w:t xml:space="preserve">Председатель </w:t>
                        </w:r>
                        <w:proofErr w:type="spellStart"/>
                        <w:r>
                          <w:t>Воткинской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215F95B4" w14:textId="77777777" w:rsidR="00F6166E" w:rsidRDefault="00F6166E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F6166E" w:rsidRDefault="00F6166E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F6166E" w:rsidRDefault="00F6166E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F6166E" w:rsidRDefault="00F6166E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B031BC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41CF1" w14:textId="77777777" w:rsidR="00F6166E" w:rsidRDefault="00F6166E">
      <w:r>
        <w:separator/>
      </w:r>
    </w:p>
  </w:endnote>
  <w:endnote w:type="continuationSeparator" w:id="0">
    <w:p w14:paraId="66BBC745" w14:textId="77777777" w:rsidR="00F6166E" w:rsidRDefault="00F6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932E" w14:textId="77777777" w:rsidR="00F6166E" w:rsidRDefault="00F6166E">
      <w:r>
        <w:separator/>
      </w:r>
    </w:p>
  </w:footnote>
  <w:footnote w:type="continuationSeparator" w:id="0">
    <w:p w14:paraId="5C7DFB3A" w14:textId="77777777" w:rsidR="00F6166E" w:rsidRDefault="00F6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1BC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166E"/>
    <w:rsid w:val="00F632EB"/>
    <w:rsid w:val="00F672EC"/>
    <w:rsid w:val="00F6744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853&amp;dst=139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853&amp;dst=92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30EA-AC0C-4694-86FD-2BC45B2B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7</cp:revision>
  <cp:lastPrinted>2024-07-02T06:15:00Z</cp:lastPrinted>
  <dcterms:created xsi:type="dcterms:W3CDTF">2024-10-31T12:02:00Z</dcterms:created>
  <dcterms:modified xsi:type="dcterms:W3CDTF">2024-10-31T12:38:00Z</dcterms:modified>
</cp:coreProperties>
</file>